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关于授权和委托用地审批权的通知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0"/>
        <w:jc w:val="both"/>
        <w:textAlignment w:val="auto"/>
        <w:rPr>
          <w:rFonts w:hint="eastAsia" w:ascii="仿宋" w:hAnsi="仿宋" w:eastAsia="仿宋" w:cs="仿宋"/>
          <w:kern w:val="2"/>
          <w:sz w:val="32"/>
          <w:szCs w:val="32"/>
          <w:u w:val="none"/>
          <w:lang w:val="en-US" w:eastAsia="zh-CN" w:bidi="ar-SA"/>
        </w:rPr>
      </w:pPr>
      <w:bookmarkStart w:id="0" w:name="OLE_LINK1"/>
      <w:bookmarkStart w:id="6" w:name="_GoBack"/>
      <w:r>
        <w:rPr>
          <w:rFonts w:hint="eastAsia" w:ascii="方正仿宋简体" w:hAnsi="方正仿宋简体" w:eastAsia="方正仿宋简体" w:cs="方正仿宋简体"/>
          <w:kern w:val="2"/>
          <w:sz w:val="32"/>
          <w:szCs w:val="32"/>
          <w:u w:val="none"/>
          <w:lang w:val="en-US" w:eastAsia="zh-CN" w:bidi="ar-SA"/>
        </w:rPr>
        <w:t>各盟行政公署、市人民政府，自治区各委、办、厅、局，各大企</w:t>
      </w:r>
      <w:r>
        <w:rPr>
          <w:rFonts w:hint="eastAsia" w:ascii="仿宋" w:hAnsi="仿宋" w:eastAsia="仿宋" w:cs="仿宋"/>
          <w:kern w:val="2"/>
          <w:sz w:val="32"/>
          <w:szCs w:val="32"/>
          <w:u w:val="none"/>
          <w:lang w:val="en-US" w:eastAsia="zh-CN" w:bidi="ar-SA"/>
        </w:rPr>
        <w:t>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rPr>
        <w:t>为</w:t>
      </w:r>
      <w:r>
        <w:rPr>
          <w:rFonts w:hint="eastAsia" w:ascii="仿宋" w:hAnsi="仿宋" w:eastAsia="仿宋" w:cs="仿宋"/>
          <w:sz w:val="32"/>
          <w:szCs w:val="32"/>
          <w:highlight w:val="none"/>
          <w:u w:val="none"/>
          <w:lang w:val="en-US" w:eastAsia="zh-CN"/>
        </w:rPr>
        <w:t>认真落实自治区党委十一届十次全会精神，紧紧围绕铸牢中华民族共同体意识工作主线，进一步优化营商环境，提高用地审批质效，</w:t>
      </w:r>
      <w:r>
        <w:rPr>
          <w:rFonts w:hint="eastAsia" w:ascii="仿宋" w:hAnsi="仿宋" w:eastAsia="仿宋" w:cs="仿宋"/>
          <w:kern w:val="2"/>
          <w:sz w:val="32"/>
          <w:szCs w:val="32"/>
          <w:highlight w:val="none"/>
          <w:u w:val="none"/>
          <w:lang w:bidi="ar-SA"/>
        </w:rPr>
        <w:t>根据</w:t>
      </w:r>
      <w:r>
        <w:rPr>
          <w:rFonts w:hint="eastAsia" w:ascii="仿宋" w:hAnsi="仿宋" w:eastAsia="仿宋" w:cs="仿宋"/>
          <w:kern w:val="2"/>
          <w:sz w:val="32"/>
          <w:szCs w:val="32"/>
          <w:u w:val="none"/>
          <w:lang w:bidi="ar-SA"/>
        </w:rPr>
        <w:t>《中华人民共和国土地管理法》</w:t>
      </w:r>
      <w:r>
        <w:rPr>
          <w:rFonts w:hint="eastAsia" w:ascii="仿宋" w:hAnsi="仿宋" w:eastAsia="仿宋" w:cs="仿宋"/>
          <w:kern w:val="2"/>
          <w:sz w:val="32"/>
          <w:szCs w:val="32"/>
          <w:u w:val="none"/>
          <w:lang w:eastAsia="zh-CN" w:bidi="ar-SA"/>
        </w:rPr>
        <w:t>、</w:t>
      </w:r>
      <w:r>
        <w:rPr>
          <w:rFonts w:hint="eastAsia" w:ascii="仿宋" w:hAnsi="仿宋" w:eastAsia="仿宋" w:cs="仿宋"/>
          <w:sz w:val="32"/>
          <w:szCs w:val="32"/>
          <w:u w:val="none"/>
        </w:rPr>
        <w:t>《内蒙古自治区实施〈中华人民共和国土地管理法〉办法》</w:t>
      </w:r>
      <w:r>
        <w:rPr>
          <w:rFonts w:hint="eastAsia" w:ascii="仿宋" w:hAnsi="仿宋" w:eastAsia="仿宋" w:cs="仿宋"/>
          <w:kern w:val="2"/>
          <w:sz w:val="32"/>
          <w:szCs w:val="32"/>
          <w:u w:val="none"/>
          <w:lang w:val="en-US" w:eastAsia="zh-CN" w:bidi="ar-SA"/>
        </w:rPr>
        <w:t>等</w:t>
      </w:r>
      <w:r>
        <w:rPr>
          <w:rFonts w:hint="eastAsia" w:ascii="仿宋" w:hAnsi="仿宋" w:eastAsia="仿宋" w:cs="仿宋"/>
          <w:sz w:val="32"/>
          <w:szCs w:val="32"/>
          <w:u w:val="none"/>
          <w:lang w:val="en-US" w:eastAsia="zh-CN"/>
        </w:rPr>
        <w:t>相</w:t>
      </w:r>
      <w:r>
        <w:rPr>
          <w:rFonts w:hint="eastAsia" w:ascii="仿宋" w:hAnsi="仿宋" w:eastAsia="仿宋" w:cs="仿宋"/>
          <w:sz w:val="32"/>
          <w:szCs w:val="32"/>
          <w:highlight w:val="none"/>
          <w:u w:val="none"/>
          <w:lang w:val="en-US" w:eastAsia="zh-CN"/>
        </w:rPr>
        <w:t>关规定，结合自治区实际，现就授权和委托用地审批权有关事项通知如下。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一、授权</w:t>
      </w:r>
      <w:r>
        <w:rPr>
          <w:rFonts w:hint="eastAsia" w:ascii="黑体" w:hAnsi="黑体" w:eastAsia="黑体" w:cs="黑体"/>
          <w:sz w:val="32"/>
          <w:szCs w:val="32"/>
          <w:u w:val="none"/>
          <w:lang w:val="en-US" w:eastAsia="zh-CN"/>
        </w:rPr>
        <w:t>和</w:t>
      </w:r>
      <w:r>
        <w:rPr>
          <w:rFonts w:hint="eastAsia" w:ascii="黑体" w:hAnsi="黑体" w:eastAsia="黑体" w:cs="黑体"/>
          <w:sz w:val="32"/>
          <w:szCs w:val="32"/>
          <w:u w:val="none"/>
        </w:rPr>
        <w:t>委托事项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（一）对</w:t>
      </w:r>
      <w:r>
        <w:rPr>
          <w:rFonts w:hint="eastAsia" w:ascii="仿宋" w:hAnsi="仿宋" w:eastAsia="仿宋" w:cs="仿宋"/>
          <w:sz w:val="32"/>
          <w:szCs w:val="32"/>
          <w:u w:val="none"/>
          <w:lang w:val="en-US" w:eastAsia="zh-CN"/>
        </w:rPr>
        <w:t>自治区</w:t>
      </w:r>
      <w:r>
        <w:rPr>
          <w:rFonts w:hint="eastAsia" w:ascii="仿宋" w:hAnsi="仿宋" w:eastAsia="仿宋" w:cs="仿宋"/>
          <w:sz w:val="32"/>
          <w:szCs w:val="32"/>
          <w:u w:val="none"/>
        </w:rPr>
        <w:t>人民政府</w:t>
      </w:r>
      <w:r>
        <w:rPr>
          <w:rFonts w:hint="eastAsia" w:ascii="仿宋" w:hAnsi="仿宋" w:eastAsia="仿宋" w:cs="仿宋"/>
          <w:sz w:val="32"/>
          <w:szCs w:val="32"/>
          <w:u w:val="none"/>
          <w:lang w:val="en-US" w:eastAsia="zh-CN"/>
        </w:rPr>
        <w:t>权限内</w:t>
      </w:r>
      <w:r>
        <w:rPr>
          <w:rFonts w:hint="eastAsia" w:ascii="仿宋" w:hAnsi="仿宋" w:eastAsia="仿宋" w:cs="仿宋"/>
          <w:sz w:val="32"/>
          <w:szCs w:val="32"/>
          <w:u w:val="none"/>
        </w:rPr>
        <w:t>批准的国土空间规划确定的城市和村庄、集镇建设用地规模范围内，按土地利用年度计划分批次将永久基本农田以外的农用地转为建设用地的，</w:t>
      </w:r>
      <w:r>
        <w:rPr>
          <w:rFonts w:hint="eastAsia" w:ascii="仿宋" w:hAnsi="仿宋" w:eastAsia="仿宋" w:cs="仿宋"/>
          <w:sz w:val="32"/>
          <w:szCs w:val="32"/>
          <w:u w:val="none"/>
          <w:lang w:val="en-US" w:eastAsia="zh-CN"/>
        </w:rPr>
        <w:t>自治区</w:t>
      </w:r>
      <w:r>
        <w:rPr>
          <w:rFonts w:hint="eastAsia" w:ascii="仿宋" w:hAnsi="仿宋" w:eastAsia="仿宋" w:cs="仿宋"/>
          <w:sz w:val="32"/>
          <w:szCs w:val="32"/>
          <w:u w:val="none"/>
        </w:rPr>
        <w:t>人民政府授权</w:t>
      </w:r>
      <w:r>
        <w:rPr>
          <w:rFonts w:hint="eastAsia" w:ascii="仿宋" w:hAnsi="仿宋" w:eastAsia="仿宋" w:cs="仿宋"/>
          <w:kern w:val="2"/>
          <w:sz w:val="32"/>
          <w:szCs w:val="32"/>
          <w:u w:val="none"/>
          <w:lang w:val="en-US" w:eastAsia="zh-CN" w:bidi="ar-SA"/>
        </w:rPr>
        <w:t>盟行政公</w:t>
      </w:r>
      <w:r>
        <w:rPr>
          <w:rFonts w:hint="eastAsia" w:ascii="仿宋" w:hAnsi="仿宋" w:eastAsia="仿宋" w:cs="仿宋"/>
          <w:sz w:val="32"/>
          <w:szCs w:val="32"/>
          <w:u w:val="none"/>
          <w:lang w:val="en-US" w:eastAsia="zh-CN"/>
        </w:rPr>
        <w:t>署、</w:t>
      </w:r>
      <w:r>
        <w:rPr>
          <w:rFonts w:hint="eastAsia" w:ascii="仿宋" w:hAnsi="仿宋" w:eastAsia="仿宋" w:cs="仿宋"/>
          <w:sz w:val="32"/>
          <w:szCs w:val="32"/>
          <w:u w:val="none"/>
        </w:rPr>
        <w:t>设区的市人民政府批准。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二</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对</w:t>
      </w:r>
      <w:r>
        <w:rPr>
          <w:rFonts w:hint="eastAsia" w:ascii="仿宋" w:hAnsi="仿宋" w:eastAsia="仿宋" w:cs="仿宋"/>
          <w:sz w:val="32"/>
          <w:szCs w:val="32"/>
          <w:u w:val="none"/>
          <w:lang w:val="en-US" w:eastAsia="zh-CN"/>
        </w:rPr>
        <w:t>自治区</w:t>
      </w:r>
      <w:r>
        <w:rPr>
          <w:rFonts w:hint="eastAsia" w:ascii="仿宋" w:hAnsi="仿宋" w:eastAsia="仿宋" w:cs="仿宋"/>
          <w:sz w:val="32"/>
          <w:szCs w:val="32"/>
          <w:u w:val="none"/>
        </w:rPr>
        <w:t>人民政府</w:t>
      </w:r>
      <w:r>
        <w:rPr>
          <w:rFonts w:hint="eastAsia" w:ascii="仿宋" w:hAnsi="仿宋" w:eastAsia="仿宋" w:cs="仿宋"/>
          <w:sz w:val="32"/>
          <w:szCs w:val="32"/>
          <w:u w:val="none"/>
          <w:lang w:val="en-US" w:eastAsia="zh-CN"/>
        </w:rPr>
        <w:t>权限内</w:t>
      </w:r>
      <w:r>
        <w:rPr>
          <w:rFonts w:hint="eastAsia" w:ascii="仿宋" w:hAnsi="仿宋" w:eastAsia="仿宋" w:cs="仿宋"/>
          <w:sz w:val="32"/>
          <w:szCs w:val="32"/>
          <w:u w:val="none"/>
        </w:rPr>
        <w:t>批准</w:t>
      </w:r>
      <w:r>
        <w:rPr>
          <w:rFonts w:hint="eastAsia" w:ascii="仿宋" w:hAnsi="仿宋" w:eastAsia="仿宋" w:cs="仿宋"/>
          <w:sz w:val="32"/>
          <w:szCs w:val="32"/>
          <w:u w:val="none"/>
          <w:lang w:eastAsia="zh-CN"/>
        </w:rPr>
        <w:t>的</w:t>
      </w:r>
      <w:r>
        <w:rPr>
          <w:rFonts w:hint="eastAsia" w:ascii="仿宋" w:hAnsi="仿宋" w:eastAsia="仿宋" w:cs="仿宋"/>
          <w:sz w:val="32"/>
          <w:szCs w:val="32"/>
          <w:u w:val="none"/>
        </w:rPr>
        <w:t>国土空间规划确定的城市和村庄、集镇建设用地规模范围内，按土地利用年度计划分批次实施建设涉及征收永久基本农田以外的耕地不超过35公顷、其他土地不超过70公顷的，</w:t>
      </w:r>
      <w:r>
        <w:rPr>
          <w:rFonts w:hint="eastAsia" w:ascii="仿宋" w:hAnsi="仿宋" w:eastAsia="仿宋" w:cs="仿宋"/>
          <w:sz w:val="32"/>
          <w:szCs w:val="32"/>
          <w:u w:val="none"/>
          <w:lang w:val="en-US" w:eastAsia="zh-CN"/>
        </w:rPr>
        <w:t>自治区</w:t>
      </w:r>
      <w:r>
        <w:rPr>
          <w:rFonts w:hint="eastAsia" w:ascii="仿宋" w:hAnsi="仿宋" w:eastAsia="仿宋" w:cs="仿宋"/>
          <w:sz w:val="32"/>
          <w:szCs w:val="32"/>
          <w:u w:val="none"/>
        </w:rPr>
        <w:t>人民政府委托</w:t>
      </w:r>
      <w:r>
        <w:rPr>
          <w:rFonts w:hint="eastAsia" w:ascii="仿宋" w:hAnsi="仿宋" w:eastAsia="仿宋" w:cs="仿宋"/>
          <w:kern w:val="2"/>
          <w:sz w:val="32"/>
          <w:szCs w:val="32"/>
          <w:u w:val="none"/>
          <w:lang w:val="en-US" w:eastAsia="zh-CN" w:bidi="ar-SA"/>
        </w:rPr>
        <w:t>盟行政公</w:t>
      </w:r>
      <w:r>
        <w:rPr>
          <w:rFonts w:hint="eastAsia" w:ascii="仿宋" w:hAnsi="仿宋" w:eastAsia="仿宋" w:cs="仿宋"/>
          <w:sz w:val="32"/>
          <w:szCs w:val="32"/>
          <w:u w:val="none"/>
          <w:lang w:val="en-US" w:eastAsia="zh-CN"/>
        </w:rPr>
        <w:t>署、</w:t>
      </w:r>
      <w:r>
        <w:rPr>
          <w:rFonts w:hint="eastAsia" w:ascii="仿宋" w:hAnsi="仿宋" w:eastAsia="仿宋" w:cs="仿宋"/>
          <w:sz w:val="32"/>
          <w:szCs w:val="32"/>
          <w:u w:val="none"/>
        </w:rPr>
        <w:t>设区的市人民政府批准。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三</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以上授权和委托事项不包含满洲里市、</w:t>
      </w:r>
      <w:r>
        <w:rPr>
          <w:rFonts w:hint="eastAsia" w:ascii="仿宋" w:hAnsi="仿宋" w:eastAsia="仿宋" w:cs="仿宋"/>
          <w:sz w:val="32"/>
          <w:szCs w:val="32"/>
          <w:highlight w:val="none"/>
          <w:u w:val="none"/>
          <w:lang w:val="en-US" w:eastAsia="zh-CN"/>
        </w:rPr>
        <w:t>二</w:t>
      </w:r>
      <w:r>
        <w:rPr>
          <w:rFonts w:hint="eastAsia" w:ascii="仿宋" w:hAnsi="仿宋" w:eastAsia="仿宋" w:cs="仿宋"/>
          <w:sz w:val="32"/>
          <w:szCs w:val="32"/>
          <w:u w:val="none"/>
          <w:lang w:val="en-US" w:eastAsia="zh-CN"/>
        </w:rPr>
        <w:t>连浩特市。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二、有关</w:t>
      </w:r>
      <w:r>
        <w:rPr>
          <w:rFonts w:hint="eastAsia" w:ascii="黑体" w:hAnsi="黑体" w:eastAsia="黑体" w:cs="黑体"/>
          <w:sz w:val="32"/>
          <w:szCs w:val="32"/>
          <w:u w:val="none"/>
          <w:lang w:val="en-US" w:eastAsia="zh-CN"/>
        </w:rPr>
        <w:t>工作</w:t>
      </w:r>
      <w:r>
        <w:rPr>
          <w:rFonts w:hint="eastAsia" w:ascii="黑体" w:hAnsi="黑体" w:eastAsia="黑体" w:cs="黑体"/>
          <w:sz w:val="32"/>
          <w:szCs w:val="32"/>
          <w:u w:val="none"/>
        </w:rPr>
        <w:t>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各盟行政公署、设区的市人民政府</w:t>
      </w:r>
      <w:r>
        <w:rPr>
          <w:rFonts w:hint="eastAsia" w:ascii="仿宋" w:hAnsi="仿宋" w:eastAsia="仿宋" w:cs="仿宋"/>
          <w:sz w:val="32"/>
          <w:szCs w:val="32"/>
          <w:u w:val="none"/>
          <w:lang w:eastAsia="zh-CN"/>
        </w:rPr>
        <w:t>要强化</w:t>
      </w:r>
      <w:r>
        <w:rPr>
          <w:rFonts w:hint="eastAsia" w:ascii="仿宋" w:hAnsi="仿宋" w:eastAsia="仿宋" w:cs="仿宋"/>
          <w:sz w:val="32"/>
          <w:szCs w:val="32"/>
          <w:u w:val="none"/>
          <w:lang w:val="en-US" w:eastAsia="zh-CN"/>
        </w:rPr>
        <w:t>对</w:t>
      </w:r>
      <w:r>
        <w:rPr>
          <w:rFonts w:hint="eastAsia" w:ascii="仿宋" w:hAnsi="仿宋" w:eastAsia="仿宋" w:cs="仿宋"/>
          <w:sz w:val="32"/>
          <w:szCs w:val="32"/>
          <w:u w:val="none"/>
          <w:lang w:eastAsia="zh-CN"/>
        </w:rPr>
        <w:t>授权和委托事项</w:t>
      </w:r>
      <w:r>
        <w:rPr>
          <w:rFonts w:hint="eastAsia" w:ascii="仿宋" w:hAnsi="仿宋" w:eastAsia="仿宋" w:cs="仿宋"/>
          <w:sz w:val="32"/>
          <w:szCs w:val="32"/>
          <w:u w:val="none"/>
          <w:lang w:val="en-US" w:eastAsia="zh-CN"/>
        </w:rPr>
        <w:t>的</w:t>
      </w:r>
      <w:r>
        <w:rPr>
          <w:rFonts w:hint="eastAsia" w:ascii="仿宋" w:hAnsi="仿宋" w:eastAsia="仿宋" w:cs="仿宋"/>
          <w:sz w:val="32"/>
          <w:szCs w:val="32"/>
          <w:u w:val="none"/>
          <w:lang w:eastAsia="zh-CN"/>
        </w:rPr>
        <w:t>组织领导，切实履行</w:t>
      </w:r>
      <w:r>
        <w:rPr>
          <w:rFonts w:hint="eastAsia" w:ascii="仿宋" w:hAnsi="仿宋" w:eastAsia="仿宋" w:cs="仿宋"/>
          <w:sz w:val="32"/>
          <w:szCs w:val="32"/>
          <w:u w:val="none"/>
          <w:lang w:val="en-US" w:eastAsia="zh-CN"/>
        </w:rPr>
        <w:t>承接</w:t>
      </w:r>
      <w:r>
        <w:rPr>
          <w:rFonts w:hint="eastAsia" w:ascii="仿宋" w:hAnsi="仿宋" w:eastAsia="仿宋" w:cs="仿宋"/>
          <w:sz w:val="32"/>
          <w:szCs w:val="32"/>
          <w:u w:val="none"/>
          <w:lang w:eastAsia="zh-CN"/>
        </w:rPr>
        <w:t>责任，</w:t>
      </w:r>
      <w:r>
        <w:rPr>
          <w:rFonts w:hint="eastAsia" w:ascii="仿宋" w:hAnsi="仿宋" w:eastAsia="仿宋" w:cs="仿宋"/>
          <w:sz w:val="32"/>
          <w:szCs w:val="32"/>
          <w:u w:val="none"/>
          <w:lang w:val="en-US" w:eastAsia="zh-CN"/>
        </w:rPr>
        <w:t>结合实际制定工作方案，完善配套措施；不得将承接的用地审批权进一步授权或委托；要主动接受社会监督，认真做好授权和委托事项范围内的信息公开、行政复议答复、行政诉讼应诉等具体工作。除保密需要外，承接的</w:t>
      </w:r>
      <w:r>
        <w:rPr>
          <w:rFonts w:hint="eastAsia" w:ascii="仿宋" w:hAnsi="仿宋" w:eastAsia="仿宋" w:cs="仿宋"/>
          <w:spacing w:val="-6"/>
          <w:sz w:val="32"/>
          <w:szCs w:val="32"/>
          <w:u w:val="none"/>
          <w:lang w:val="en-US" w:eastAsia="zh-CN"/>
        </w:rPr>
        <w:t>授权和委托事项均要通过“内蒙古自治区用途管制监管系统”办理。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各盟行政公署、设区的市人民政府要按照法律、行政法规和有关政策规定严格审核用地，切实保护耕地，节约集约用地。</w:t>
      </w:r>
      <w:r>
        <w:rPr>
          <w:rFonts w:hint="eastAsia" w:ascii="仿宋" w:hAnsi="仿宋" w:eastAsia="仿宋" w:cs="仿宋"/>
          <w:sz w:val="32"/>
          <w:szCs w:val="32"/>
          <w:u w:val="none"/>
          <w:lang w:eastAsia="zh-CN"/>
        </w:rPr>
        <w:t>严格审查</w:t>
      </w:r>
      <w:r>
        <w:rPr>
          <w:rFonts w:hint="eastAsia" w:ascii="仿宋" w:hAnsi="仿宋" w:eastAsia="仿宋" w:cs="仿宋"/>
          <w:sz w:val="32"/>
          <w:szCs w:val="32"/>
          <w:u w:val="none"/>
          <w:lang w:val="en-US" w:eastAsia="zh-CN"/>
        </w:rPr>
        <w:t>是否涉及永久基本农田、生态保护红线，是否符合城镇开发边界管控要求；</w:t>
      </w:r>
      <w:r>
        <w:rPr>
          <w:rFonts w:hint="eastAsia" w:ascii="仿宋" w:hAnsi="仿宋" w:eastAsia="仿宋" w:cs="仿宋"/>
          <w:kern w:val="2"/>
          <w:sz w:val="32"/>
          <w:szCs w:val="32"/>
          <w:u w:val="none"/>
          <w:lang w:eastAsia="zh-CN"/>
        </w:rPr>
        <w:t>涉及征收集体土地的，</w:t>
      </w:r>
      <w:r>
        <w:rPr>
          <w:rFonts w:hint="eastAsia" w:ascii="仿宋" w:hAnsi="仿宋" w:eastAsia="仿宋" w:cs="仿宋"/>
          <w:kern w:val="2"/>
          <w:sz w:val="32"/>
          <w:szCs w:val="32"/>
          <w:u w:val="none"/>
          <w:lang w:val="en-US" w:eastAsia="zh-CN"/>
        </w:rPr>
        <w:t>重点</w:t>
      </w:r>
      <w:r>
        <w:rPr>
          <w:rFonts w:hint="eastAsia" w:ascii="仿宋" w:hAnsi="仿宋" w:eastAsia="仿宋" w:cs="仿宋"/>
          <w:kern w:val="2"/>
          <w:sz w:val="32"/>
          <w:szCs w:val="32"/>
          <w:u w:val="none"/>
          <w:lang w:eastAsia="zh-CN"/>
        </w:rPr>
        <w:t>审查是否符合征收情形、</w:t>
      </w:r>
      <w:r>
        <w:rPr>
          <w:rFonts w:hint="eastAsia" w:ascii="仿宋" w:hAnsi="仿宋" w:eastAsia="仿宋" w:cs="仿宋"/>
          <w:kern w:val="2"/>
          <w:sz w:val="32"/>
          <w:szCs w:val="32"/>
          <w:u w:val="none"/>
          <w:lang w:val="en-US" w:eastAsia="zh-CN"/>
        </w:rPr>
        <w:t>是否</w:t>
      </w:r>
      <w:r>
        <w:rPr>
          <w:rFonts w:hint="eastAsia" w:ascii="仿宋" w:hAnsi="仿宋" w:eastAsia="仿宋" w:cs="仿宋"/>
          <w:kern w:val="2"/>
          <w:sz w:val="32"/>
          <w:szCs w:val="32"/>
          <w:u w:val="none"/>
          <w:lang w:eastAsia="zh-CN"/>
        </w:rPr>
        <w:t>依法履行征地</w:t>
      </w:r>
      <w:r>
        <w:rPr>
          <w:rFonts w:hint="eastAsia" w:ascii="仿宋" w:hAnsi="仿宋" w:eastAsia="仿宋" w:cs="仿宋"/>
          <w:kern w:val="2"/>
          <w:sz w:val="32"/>
          <w:szCs w:val="32"/>
          <w:u w:val="none"/>
          <w:lang w:val="en-US" w:eastAsia="zh-CN"/>
        </w:rPr>
        <w:t>前期</w:t>
      </w:r>
      <w:r>
        <w:rPr>
          <w:rFonts w:hint="eastAsia" w:ascii="仿宋" w:hAnsi="仿宋" w:eastAsia="仿宋" w:cs="仿宋"/>
          <w:kern w:val="2"/>
          <w:sz w:val="32"/>
          <w:szCs w:val="32"/>
          <w:u w:val="none"/>
          <w:lang w:eastAsia="zh-CN"/>
        </w:rPr>
        <w:t>程序，切实维护被征地农牧民合法权益。要</w:t>
      </w:r>
      <w:r>
        <w:rPr>
          <w:rFonts w:hint="eastAsia" w:ascii="仿宋" w:hAnsi="仿宋" w:eastAsia="仿宋" w:cs="仿宋"/>
          <w:sz w:val="32"/>
          <w:szCs w:val="32"/>
          <w:u w:val="none"/>
          <w:lang w:val="en-US" w:eastAsia="zh-CN"/>
        </w:rPr>
        <w:t>及时对</w:t>
      </w:r>
      <w:r>
        <w:rPr>
          <w:rFonts w:hint="eastAsia" w:ascii="仿宋" w:hAnsi="仿宋" w:eastAsia="仿宋" w:cs="仿宋"/>
          <w:sz w:val="32"/>
          <w:szCs w:val="32"/>
          <w:highlight w:val="none"/>
          <w:u w:val="none"/>
          <w:lang w:val="en-US" w:eastAsia="zh-CN"/>
        </w:rPr>
        <w:t>符合条件的</w:t>
      </w:r>
      <w:r>
        <w:rPr>
          <w:rFonts w:hint="eastAsia" w:ascii="仿宋" w:hAnsi="仿宋" w:eastAsia="仿宋" w:cs="仿宋"/>
          <w:sz w:val="32"/>
          <w:szCs w:val="32"/>
          <w:u w:val="none"/>
          <w:lang w:val="en-US" w:eastAsia="zh-CN"/>
        </w:rPr>
        <w:t>用地申请组织审查并履行批复程序，</w:t>
      </w:r>
      <w:r>
        <w:rPr>
          <w:rFonts w:hint="eastAsia" w:ascii="仿宋" w:hAnsi="仿宋" w:eastAsia="仿宋" w:cs="仿宋"/>
          <w:sz w:val="32"/>
          <w:szCs w:val="32"/>
          <w:highlight w:val="none"/>
          <w:u w:val="none"/>
          <w:lang w:val="en-US" w:eastAsia="zh-CN"/>
        </w:rPr>
        <w:t>不断提高审批效率</w:t>
      </w:r>
      <w:r>
        <w:rPr>
          <w:rFonts w:hint="eastAsia" w:ascii="仿宋" w:hAnsi="仿宋" w:eastAsia="仿宋" w:cs="仿宋"/>
          <w:sz w:val="32"/>
          <w:szCs w:val="32"/>
          <w:u w:val="none"/>
          <w:lang w:val="en-US" w:eastAsia="zh-CN"/>
        </w:rPr>
        <w:t>。要于每年1月底前，向自治区人民政府报告上一年度授权和委托用地审批事项办理情况。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自治区自然资源厅要做好用地审批政策解读，强化业务培训，规范审批流程，健全审批制度。要采取“双随机、一公开”等方式，对各地区承接的用地审批事项开展定期检查和随机抽查，对存在的问题及时督促纠正，发现弄虚作假、违法违规审批等重大问题的，及时报告自治区人民政府，提请收回授权和委托事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仿宋" w:hAnsi="仿宋" w:eastAsia="仿宋" w:cs="仿宋"/>
          <w:kern w:val="2"/>
          <w:sz w:val="32"/>
          <w:szCs w:val="32"/>
          <w:u w:val="none"/>
          <w:lang w:val="en-US" w:eastAsia="zh-CN" w:bidi="ar-SA"/>
        </w:rPr>
        <w:t>本通知自2026年1月1日起施行，施行之前已向自治区人民政府申请的用地审批事项，按原规定执行。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kern w:val="2"/>
          <w:sz w:val="32"/>
          <w:szCs w:val="32"/>
          <w:u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kern w:val="2"/>
          <w:sz w:val="32"/>
          <w:szCs w:val="32"/>
          <w:u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kern w:val="2"/>
          <w:sz w:val="32"/>
          <w:szCs w:val="32"/>
          <w:u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kern w:val="2"/>
          <w:sz w:val="32"/>
          <w:szCs w:val="32"/>
          <w:u w:val="none"/>
          <w:lang w:val="en-US" w:eastAsia="zh-CN" w:bidi="ar-SA"/>
        </w:rPr>
      </w:pPr>
    </w:p>
    <w:p>
      <w:pPr>
        <w:keepNext w:val="0"/>
        <w:keepLines w:val="0"/>
        <w:pageBreakBefore w:val="0"/>
        <w:widowControl w:val="0"/>
        <w:kinsoku/>
        <w:wordWrap/>
        <w:overflowPunct/>
        <w:topLinePunct/>
        <w:autoSpaceDE/>
        <w:autoSpaceDN/>
        <w:bidi w:val="0"/>
        <w:adjustRightInd/>
        <w:snapToGrid/>
        <w:spacing w:line="580" w:lineRule="exact"/>
        <w:ind w:left="0" w:leftChars="0" w:firstLine="4918" w:firstLineChars="1537"/>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w:t>
      </w:r>
      <w:r>
        <w:rPr>
          <w:rFonts w:hint="eastAsia" w:ascii="方正仿宋简体" w:hAnsi="方正仿宋简体" w:eastAsia="方正仿宋简体" w:cs="方正仿宋简体"/>
          <w:sz w:val="32"/>
          <w:szCs w:val="32"/>
          <w:u w:val="none"/>
          <w:lang w:val="en-US" w:eastAsia="zh-CN"/>
        </w:rPr>
        <w:t>5</w:t>
      </w:r>
      <w:r>
        <w:rPr>
          <w:rFonts w:hint="eastAsia" w:ascii="方正仿宋简体" w:hAnsi="方正仿宋简体" w:eastAsia="方正仿宋简体" w:cs="方正仿宋简体"/>
          <w:sz w:val="32"/>
          <w:szCs w:val="32"/>
          <w:u w:val="none"/>
        </w:rPr>
        <w:t>年</w:t>
      </w:r>
      <w:r>
        <w:rPr>
          <w:rFonts w:hint="eastAsia" w:ascii="方正仿宋简体" w:hAnsi="方正仿宋简体" w:eastAsia="方正仿宋简体" w:cs="方正仿宋简体"/>
          <w:sz w:val="32"/>
          <w:szCs w:val="32"/>
          <w:u w:val="none"/>
          <w:lang w:val="en-US" w:eastAsia="zh-CN"/>
        </w:rPr>
        <w:t>12</w:t>
      </w:r>
      <w:r>
        <w:rPr>
          <w:rFonts w:hint="eastAsia" w:ascii="方正仿宋简体" w:hAnsi="方正仿宋简体" w:eastAsia="方正仿宋简体" w:cs="方正仿宋简体"/>
          <w:sz w:val="32"/>
          <w:szCs w:val="32"/>
          <w:u w:val="none"/>
        </w:rPr>
        <w:t>月</w:t>
      </w:r>
      <w:r>
        <w:rPr>
          <w:rFonts w:hint="eastAsia" w:ascii="方正仿宋简体" w:hAnsi="方正仿宋简体" w:eastAsia="方正仿宋简体" w:cs="方正仿宋简体"/>
          <w:sz w:val="32"/>
          <w:szCs w:val="32"/>
          <w:u w:val="none"/>
          <w:lang w:val="en-US" w:eastAsia="zh-CN"/>
        </w:rPr>
        <w:t>23</w:t>
      </w:r>
      <w:r>
        <w:rPr>
          <w:rFonts w:hint="eastAsia" w:ascii="方正仿宋简体" w:hAnsi="方正仿宋简体" w:eastAsia="方正仿宋简体" w:cs="方正仿宋简体"/>
          <w:sz w:val="32"/>
          <w:szCs w:val="32"/>
          <w:u w:val="none"/>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eastAsia="黑体"/>
        </w:rPr>
      </w:pPr>
      <w:r>
        <w:rPr>
          <w:rFonts w:hint="eastAsia" w:ascii="方正仿宋简体" w:hAnsi="方正仿宋简体" w:eastAsia="方正仿宋简体" w:cs="方正仿宋简体"/>
          <w:kern w:val="2"/>
          <w:sz w:val="32"/>
          <w:szCs w:val="32"/>
          <w:u w:val="none"/>
          <w:lang w:val="en-US" w:eastAsia="zh-CN" w:bidi="ar-SA"/>
        </w:rPr>
        <w:t>（此件公开发布）</w:t>
      </w:r>
      <w:bookmarkStart w:id="1" w:name="成文日期"/>
      <w:bookmarkEnd w:id="1"/>
      <w:bookmarkEnd w:id="6"/>
    </w:p>
    <w:bookmarkEnd w:id="0"/>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p>
    <w:p>
      <w:pPr>
        <w:pStyle w:val="5"/>
        <w:tabs>
          <w:tab w:val="left" w:pos="7560"/>
        </w:tabs>
        <w:wordWrap w:val="0"/>
        <w:ind w:left="0" w:leftChars="0" w:firstLine="0" w:firstLineChars="0"/>
        <w:jc w:val="both"/>
        <w:rPr>
          <w:rFonts w:hint="eastAsia" w:ascii="黑体" w:eastAsia="黑体"/>
        </w:rPr>
      </w:pPr>
      <w:r>
        <w:rPr>
          <w:rFonts w:hint="eastAsia" w:ascii="黑体" w:eastAsia="黑体"/>
        </w:rPr>
        <w:t xml:space="preserve">      </w:t>
      </w:r>
    </w:p>
    <w:p>
      <w:pPr>
        <w:adjustRightInd w:val="0"/>
        <w:snapToGrid w:val="0"/>
        <w:spacing w:line="580" w:lineRule="exact"/>
        <w:ind w:firstLine="640" w:firstLineChars="200"/>
        <w:rPr>
          <w:rFonts w:hint="eastAsia" w:ascii="仿宋_GB2312" w:hAnsi="华文仿宋" w:eastAsia="仿宋_GB2312"/>
          <w:sz w:val="32"/>
        </w:rPr>
      </w:pPr>
    </w:p>
    <w:p>
      <w:pPr>
        <w:adjustRightInd w:val="0"/>
        <w:snapToGrid w:val="0"/>
        <w:spacing w:line="580" w:lineRule="exact"/>
        <w:ind w:firstLine="640" w:firstLineChars="200"/>
        <w:rPr>
          <w:rFonts w:hint="eastAsia" w:ascii="仿宋_GB2312" w:hAnsi="华文仿宋" w:eastAsia="仿宋_GB2312"/>
          <w:sz w:val="32"/>
        </w:rPr>
      </w:pPr>
    </w:p>
    <w:p>
      <w:pPr>
        <w:adjustRightInd w:val="0"/>
        <w:snapToGrid w:val="0"/>
        <w:spacing w:line="580" w:lineRule="exact"/>
        <w:ind w:firstLine="640" w:firstLineChars="200"/>
        <w:rPr>
          <w:rFonts w:hint="eastAsia" w:ascii="仿宋_GB2312" w:hAnsi="华文仿宋" w:eastAsia="仿宋_GB2312"/>
          <w:sz w:val="32"/>
        </w:rPr>
      </w:pPr>
    </w:p>
    <w:tbl>
      <w:tblPr>
        <w:tblStyle w:val="11"/>
        <w:tblW w:w="9002"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79"/>
        <w:gridCol w:w="362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002" w:type="dxa"/>
            <w:gridSpan w:val="2"/>
            <w:tcBorders>
              <w:tl2br w:val="nil"/>
              <w:tr2bl w:val="nil"/>
            </w:tcBorders>
            <w:noWrap w:val="0"/>
            <w:tcMar>
              <w:left w:w="0" w:type="dxa"/>
              <w:right w:w="0" w:type="dxa"/>
            </w:tcMar>
            <w:vAlign w:val="top"/>
          </w:tcPr>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left="315" w:leftChars="150" w:right="315" w:rightChars="150"/>
              <w:jc w:val="both"/>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 w:eastAsia="仿宋_GB2312"/>
                <w:sz w:val="28"/>
                <w:szCs w:val="28"/>
              </w:rPr>
              <w:t>抄送：</w:t>
            </w:r>
            <w:bookmarkStart w:id="2" w:name="抄送单位"/>
            <w:bookmarkEnd w:id="2"/>
            <w:bookmarkStart w:id="3" w:name="OLE_LINK8"/>
            <w:r>
              <w:rPr>
                <w:rFonts w:hint="eastAsia" w:ascii="仿宋_GB2312" w:hAnsi="仿宋_GB2312" w:eastAsia="仿宋_GB2312" w:cs="仿宋_GB2312"/>
                <w:color w:val="auto"/>
                <w:sz w:val="28"/>
                <w:szCs w:val="28"/>
                <w:shd w:val="clear" w:color="auto" w:fill="FFFFFF"/>
              </w:rPr>
              <w:t>自治区党委各部门，内蒙古军区，武警内蒙古总队。</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left="1153" w:leftChars="549" w:right="315" w:rightChars="150" w:firstLine="0" w:firstLineChars="0"/>
              <w:jc w:val="both"/>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自治区人大常委会办公厅</w:t>
            </w:r>
            <w:r>
              <w:rPr>
                <w:rFonts w:hint="eastAsia" w:ascii="仿宋_GB2312" w:hAnsi="仿宋_GB2312" w:eastAsia="仿宋_GB2312" w:cs="仿宋_GB2312"/>
                <w:color w:val="auto"/>
                <w:sz w:val="28"/>
                <w:szCs w:val="28"/>
                <w:shd w:val="clear" w:color="auto" w:fill="FFFFFF"/>
                <w:lang w:eastAsia="zh-CN"/>
              </w:rPr>
              <w:t>，自治区</w:t>
            </w:r>
            <w:r>
              <w:rPr>
                <w:rFonts w:hint="eastAsia" w:ascii="仿宋_GB2312" w:hAnsi="仿宋_GB2312" w:eastAsia="仿宋_GB2312" w:cs="仿宋_GB2312"/>
                <w:color w:val="auto"/>
                <w:sz w:val="28"/>
                <w:szCs w:val="28"/>
                <w:shd w:val="clear" w:color="auto" w:fill="FFFFFF"/>
              </w:rPr>
              <w:t>政协办公厅，自治区监委，自治区高级人民法院，</w:t>
            </w:r>
            <w:r>
              <w:rPr>
                <w:rFonts w:hint="eastAsia" w:ascii="仿宋_GB2312" w:hAnsi="仿宋_GB2312" w:eastAsia="仿宋_GB2312" w:cs="仿宋_GB2312"/>
                <w:color w:val="auto"/>
                <w:sz w:val="28"/>
                <w:szCs w:val="28"/>
                <w:shd w:val="clear" w:color="auto" w:fill="FFFFFF"/>
                <w:lang w:eastAsia="zh-CN"/>
              </w:rPr>
              <w:t>自治区人民</w:t>
            </w:r>
            <w:r>
              <w:rPr>
                <w:rFonts w:hint="eastAsia" w:ascii="仿宋_GB2312" w:hAnsi="仿宋_GB2312" w:eastAsia="仿宋_GB2312" w:cs="仿宋_GB2312"/>
                <w:color w:val="auto"/>
                <w:sz w:val="28"/>
                <w:szCs w:val="28"/>
                <w:shd w:val="clear" w:color="auto" w:fill="FFFFFF"/>
              </w:rPr>
              <w:t>检察院。</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left="315" w:leftChars="150" w:right="315" w:rightChars="150" w:firstLine="840" w:firstLineChars="300"/>
              <w:jc w:val="both"/>
              <w:textAlignment w:val="auto"/>
              <w:rPr>
                <w:rFonts w:hint="eastAsia" w:ascii="仿宋_GB2312" w:hAnsi="仿宋" w:eastAsia="仿宋_GB2312"/>
                <w:sz w:val="28"/>
                <w:szCs w:val="28"/>
              </w:rPr>
            </w:pPr>
            <w:r>
              <w:rPr>
                <w:rFonts w:hint="eastAsia" w:ascii="仿宋_GB2312" w:hAnsi="仿宋_GB2312" w:eastAsia="仿宋_GB2312" w:cs="仿宋_GB2312"/>
                <w:color w:val="auto"/>
                <w:sz w:val="28"/>
                <w:szCs w:val="28"/>
                <w:shd w:val="clear" w:color="auto" w:fill="FFFFFF"/>
              </w:rPr>
              <w:t>各民主党派区委会，各人民团体</w:t>
            </w:r>
            <w:r>
              <w:rPr>
                <w:rFonts w:hint="eastAsia" w:ascii="仿宋_GB2312" w:hAnsi="仿宋_GB2312" w:eastAsia="仿宋_GB2312" w:cs="仿宋_GB2312"/>
                <w:color w:val="auto"/>
                <w:sz w:val="28"/>
                <w:szCs w:val="28"/>
                <w:shd w:val="clear" w:color="auto" w:fill="FFFFFF"/>
                <w:lang w:eastAsia="zh-CN"/>
              </w:rPr>
              <w:t>，新闻单位</w:t>
            </w:r>
            <w:r>
              <w:rPr>
                <w:rFonts w:hint="eastAsia" w:ascii="仿宋_GB2312" w:hAnsi="仿宋_GB2312" w:eastAsia="仿宋_GB2312" w:cs="仿宋_GB2312"/>
                <w:color w:val="auto"/>
                <w:sz w:val="28"/>
                <w:szCs w:val="28"/>
                <w:shd w:val="clear" w:color="auto" w:fill="FFFFFF"/>
              </w:rPr>
              <w:t>。</w:t>
            </w:r>
            <w:bookmarkEnd w:id="3"/>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20" w:hRule="atLeast"/>
          <w:jc w:val="center"/>
        </w:trPr>
        <w:tc>
          <w:tcPr>
            <w:tcW w:w="5379"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20" w:lineRule="exact"/>
              <w:ind w:left="315" w:leftChars="150" w:right="315" w:rightChars="150"/>
              <w:jc w:val="both"/>
              <w:textAlignment w:val="auto"/>
              <w:rPr>
                <w:rFonts w:hint="eastAsia" w:ascii="仿宋" w:hAnsi="仿宋" w:eastAsia="仿宋"/>
                <w:sz w:val="28"/>
                <w:szCs w:val="28"/>
              </w:rPr>
            </w:pPr>
            <w:r>
              <w:rPr>
                <w:rFonts w:hint="eastAsia" w:ascii="仿宋_GB2312" w:hAnsi="宋体" w:eastAsia="仿宋_GB2312" w:cs="Arial"/>
                <w:kern w:val="0"/>
                <w:sz w:val="28"/>
                <w:szCs w:val="28"/>
              </w:rPr>
              <w:t>内蒙古自治区人民政府办公厅文电处</w:t>
            </w:r>
          </w:p>
        </w:tc>
        <w:tc>
          <w:tcPr>
            <w:tcW w:w="3623"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20" w:lineRule="exact"/>
              <w:ind w:left="315" w:leftChars="150" w:right="315" w:rightChars="150"/>
              <w:jc w:val="center"/>
              <w:textAlignment w:val="auto"/>
              <w:rPr>
                <w:rFonts w:hint="eastAsia" w:ascii="仿宋_GB2312" w:hAnsi="仿宋" w:eastAsia="仿宋_GB2312"/>
                <w:sz w:val="28"/>
                <w:szCs w:val="28"/>
              </w:rPr>
            </w:pPr>
            <w:bookmarkStart w:id="4" w:name="印发日期"/>
            <w:bookmarkEnd w:id="4"/>
            <w:r>
              <w:rPr>
                <w:rFonts w:hint="eastAsia" w:ascii="仿宋_GB2312" w:hAnsi="仿宋" w:eastAsia="仿宋_GB2312"/>
                <w:sz w:val="28"/>
                <w:szCs w:val="28"/>
                <w:lang w:val="en-US" w:eastAsia="zh-CN"/>
              </w:rPr>
              <w:t xml:space="preserve"> 2025年12月24日</w:t>
            </w:r>
            <w:r>
              <w:rPr>
                <w:rFonts w:hint="eastAsia" w:ascii="仿宋_GB2312" w:hAnsi="仿宋" w:eastAsia="仿宋_GB2312"/>
                <w:sz w:val="28"/>
                <w:szCs w:val="28"/>
              </w:rPr>
              <w:t>印发</w:t>
            </w:r>
          </w:p>
        </w:tc>
      </w:tr>
    </w:tbl>
    <w:p>
      <w:pPr>
        <w:spacing w:line="20" w:lineRule="exact"/>
        <w:rPr>
          <w:rFonts w:hint="eastAsia"/>
        </w:rPr>
      </w:pPr>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5" w:name="二维条码"/>
                            <w:bookmarkEnd w:id="5"/>
                            <w:r>
                              <w:rPr>
                                <w:rFonts w:hint="eastAsia" w:eastAsia="宋体"/>
                                <w:sz w:val="52"/>
                                <w:szCs w:val="52"/>
                                <w:lang w:eastAsia="zh-CN"/>
                              </w:rPr>
                              <w:drawing>
                                <wp:inline distT="0" distB="0" distL="114300" distR="114300">
                                  <wp:extent cx="1671320" cy="471805"/>
                                  <wp:effectExtent l="0" t="0" r="5080" b="4445"/>
                                  <wp:docPr id="2" name="图片 3" descr="C:\Users\Administrator\Desktop\NZF22.jpgNZF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2.jpgNZF22"/>
                                          <pic:cNvPicPr>
                                            <a:picLocks noChangeAspect="1"/>
                                          </pic:cNvPicPr>
                                        </pic:nvPicPr>
                                        <pic:blipFill>
                                          <a:blip r:embed="rId8"/>
                                          <a:stretch>
                                            <a:fillRect/>
                                          </a:stretch>
                                        </pic:blipFill>
                                        <pic:spPr>
                                          <a:xfrm>
                                            <a:off x="0" y="0"/>
                                            <a:ext cx="1671320" cy="47180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5" w:name="二维条码"/>
                      <w:bookmarkEnd w:id="5"/>
                      <w:r>
                        <w:rPr>
                          <w:rFonts w:hint="eastAsia" w:eastAsia="宋体"/>
                          <w:sz w:val="52"/>
                          <w:szCs w:val="52"/>
                          <w:lang w:eastAsia="zh-CN"/>
                        </w:rPr>
                        <w:drawing>
                          <wp:inline distT="0" distB="0" distL="114300" distR="114300">
                            <wp:extent cx="1671320" cy="471805"/>
                            <wp:effectExtent l="0" t="0" r="5080" b="4445"/>
                            <wp:docPr id="2" name="图片 3" descr="C:\Users\Administrator\Desktop\NZF22.jpgNZF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2.jpgNZF22"/>
                                    <pic:cNvPicPr>
                                      <a:picLocks noChangeAspect="1"/>
                                    </pic:cNvPicPr>
                                  </pic:nvPicPr>
                                  <pic:blipFill>
                                    <a:blip r:embed="rId8"/>
                                    <a:stretch>
                                      <a:fillRect/>
                                    </a:stretch>
                                  </pic:blipFill>
                                  <pic:spPr>
                                    <a:xfrm>
                                      <a:off x="0" y="0"/>
                                      <a:ext cx="1671320" cy="47180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CB03A58"/>
    <w:rsid w:val="0F6E701B"/>
    <w:rsid w:val="15EF71D1"/>
    <w:rsid w:val="1A3A4DBC"/>
    <w:rsid w:val="1DD11934"/>
    <w:rsid w:val="1ED24BFE"/>
    <w:rsid w:val="1F48029C"/>
    <w:rsid w:val="1FCE44C3"/>
    <w:rsid w:val="28B640A0"/>
    <w:rsid w:val="2BAD69DC"/>
    <w:rsid w:val="2D521FF4"/>
    <w:rsid w:val="2D875A70"/>
    <w:rsid w:val="2E84799A"/>
    <w:rsid w:val="338A1A32"/>
    <w:rsid w:val="370A6D13"/>
    <w:rsid w:val="37B7DF25"/>
    <w:rsid w:val="438571B3"/>
    <w:rsid w:val="499F0266"/>
    <w:rsid w:val="4B4F7E57"/>
    <w:rsid w:val="4C134A8D"/>
    <w:rsid w:val="5C4A2FDE"/>
    <w:rsid w:val="5E866D11"/>
    <w:rsid w:val="65EFF174"/>
    <w:rsid w:val="6A1C2667"/>
    <w:rsid w:val="6D3B5A6D"/>
    <w:rsid w:val="6DFA1037"/>
    <w:rsid w:val="6ECF23D3"/>
    <w:rsid w:val="75765346"/>
    <w:rsid w:val="77BD282A"/>
    <w:rsid w:val="9B9BB087"/>
    <w:rsid w:val="AE3B166E"/>
    <w:rsid w:val="DFFE2D93"/>
    <w:rsid w:val="E64B00A5"/>
    <w:rsid w:val="FCFD7DC3"/>
    <w:rsid w:val="FFF6A5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next w:val="1"/>
    <w:qFormat/>
    <w:uiPriority w:val="0"/>
    <w:pPr>
      <w:spacing w:before="0" w:after="140" w:line="276" w:lineRule="auto"/>
    </w:pPr>
    <w:rPr>
      <w:rFonts w:ascii="Times New Roman" w:hAnsi="Times New Roman" w:eastAsia="宋体" w:cs="Times New Roman"/>
      <w:szCs w:val="24"/>
      <w:lang w:bidi="ar-SA"/>
    </w:rPr>
  </w:style>
  <w:style w:type="paragraph" w:styleId="4">
    <w:name w:val="Body Text Indent"/>
    <w:basedOn w:val="1"/>
    <w:qFormat/>
    <w:uiPriority w:val="0"/>
    <w:pPr>
      <w:ind w:firstLine="630" w:firstLineChars="225"/>
      <w:jc w:val="left"/>
    </w:pPr>
    <w:rPr>
      <w:rFonts w:ascii="宋体" w:hAnsi="Calibri" w:eastAsia="宋体" w:cs="Times New Roman"/>
      <w:sz w:val="28"/>
      <w:szCs w:val="20"/>
    </w:rPr>
  </w:style>
  <w:style w:type="paragraph" w:styleId="5">
    <w:name w:val="Date"/>
    <w:basedOn w:val="1"/>
    <w:next w:val="1"/>
    <w:link w:val="19"/>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szCs w:val="24"/>
      <w:lang w:bidi="ar-SA"/>
    </w:rPr>
  </w:style>
  <w:style w:type="paragraph" w:styleId="10">
    <w:name w:val="Body Text First Indent 2"/>
    <w:basedOn w:val="4"/>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rFonts w:ascii="Times New Roman" w:hAnsi="Times New Roman" w:eastAsia="宋体" w:cs="Times New Roman"/>
      <w:b/>
    </w:rPr>
  </w:style>
  <w:style w:type="character" w:styleId="15">
    <w:name w:val="page number"/>
    <w:basedOn w:val="13"/>
    <w:uiPriority w:val="0"/>
  </w:style>
  <w:style w:type="character" w:styleId="16">
    <w:name w:val="Hyperlink"/>
    <w:qFormat/>
    <w:uiPriority w:val="0"/>
    <w:rPr>
      <w:rFonts w:ascii="Times New Roman" w:hAnsi="Times New Roman" w:eastAsia="宋体" w:cs="Times New Roman"/>
      <w:color w:val="0066CC"/>
      <w:sz w:val="24"/>
      <w:szCs w:val="24"/>
      <w:u w:val="single"/>
    </w:rPr>
  </w:style>
  <w:style w:type="paragraph" w:styleId="17">
    <w:name w:val="List Paragraph"/>
    <w:basedOn w:val="1"/>
    <w:qFormat/>
    <w:uiPriority w:val="34"/>
    <w:pPr>
      <w:ind w:firstLine="420" w:firstLineChars="200"/>
    </w:pPr>
    <w:rPr>
      <w:rFonts w:ascii="Times New Roman" w:hAnsi="Times New Roman" w:eastAsia="宋体" w:cs="Times New Roman"/>
      <w:szCs w:val="22"/>
      <w:lang w:bidi="ar-SA"/>
    </w:rPr>
  </w:style>
  <w:style w:type="paragraph" w:customStyle="1" w:styleId="18">
    <w:name w:val="BodyText"/>
    <w:basedOn w:val="1"/>
    <w:qFormat/>
    <w:uiPriority w:val="0"/>
    <w:pPr>
      <w:suppressAutoHyphens/>
      <w:bidi w:val="0"/>
    </w:pPr>
    <w:rPr>
      <w:rFonts w:ascii="Calibri" w:hAnsi="Calibri" w:eastAsia="宋体" w:cs="Times New Roman"/>
      <w:color w:val="auto"/>
      <w:sz w:val="28"/>
      <w:szCs w:val="22"/>
      <w:lang w:bidi="ar-SA"/>
    </w:rPr>
  </w:style>
  <w:style w:type="character" w:customStyle="1" w:styleId="19">
    <w:name w:val="日期 Char"/>
    <w:basedOn w:val="13"/>
    <w:link w:val="5"/>
    <w:semiHidden/>
    <w:qFormat/>
    <w:uiPriority w:val="99"/>
    <w:rPr>
      <w:rFonts w:ascii="Times New Roman" w:hAnsi="Times New Roman" w:eastAsia="宋体" w:cs="Times New Roman"/>
    </w:rPr>
  </w:style>
  <w:style w:type="character" w:customStyle="1" w:styleId="20">
    <w:name w:val="页脚 字符"/>
    <w:link w:val="7"/>
    <w:qFormat/>
    <w:uiPriority w:val="99"/>
    <w:rPr>
      <w:rFonts w:ascii="Times New Roman" w:hAnsi="Times New Roman" w:eastAsia="宋体" w:cs="Times New Roman"/>
      <w:kern w:val="2"/>
      <w:sz w:val="18"/>
      <w:szCs w:val="18"/>
    </w:rPr>
  </w:style>
  <w:style w:type="character" w:customStyle="1" w:styleId="21">
    <w:name w:val=" Char Char"/>
    <w:basedOn w:val="13"/>
    <w:link w:val="8"/>
    <w:semiHidden/>
    <w:uiPriority w:val="99"/>
    <w:rPr>
      <w:rFonts w:ascii="Calibri" w:hAnsi="Calibri" w:eastAsia="宋体" w:cs="Mongolian Baiti"/>
      <w:kern w:val="2"/>
      <w:sz w:val="18"/>
      <w:szCs w:val="22"/>
    </w:rPr>
  </w:style>
  <w:style w:type="character" w:customStyle="1" w:styleId="22">
    <w:name w:val=" Char Char1"/>
    <w:basedOn w:val="13"/>
    <w:uiPriority w:val="0"/>
    <w:rPr>
      <w:rFonts w:ascii="仿宋_GB2312" w:hAnsi="Times New Roman" w:eastAsia="仿宋_GB2312" w:cs="Times New Roman"/>
      <w:kern w:val="2"/>
      <w:sz w:val="32"/>
      <w:szCs w:val="24"/>
      <w:lang w:bidi="ar-SA"/>
    </w:rPr>
  </w:style>
  <w:style w:type="character" w:customStyle="1" w:styleId="23">
    <w:name w:val=" Char Char2"/>
    <w:basedOn w:val="13"/>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3</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dcterms:modified xsi:type="dcterms:W3CDTF">2025-12-25T07:26:48Z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8F7E77C2BD2B15298CBE4C696EFE0161</vt:lpwstr>
  </property>
</Properties>
</file>