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华文仿宋" w:eastAsia="仿宋_GB2312"/>
          <w:sz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关于深化就业领域综合改革的意见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</w:rPr>
        <w:t>各盟行政公署、市人民政府，自治区各委、办、厅、局，各大企业、事业单位: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为完善就业优先政策，健全高质量充分就业促进机制，现就深化就业领域综合改革提出如下意见。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社会主义思想为指导，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全面贯彻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二十大和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二十届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三中全会精神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，认真落实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自治区党委十一届八次全会精神，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紧紧围绕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铸牢中华民族共同体意识工作主线，以全面深化就业体</w:t>
      </w:r>
      <w:r>
        <w:rPr>
          <w:rFonts w:hint="eastAsia" w:ascii="仿宋" w:hAnsi="仿宋" w:eastAsia="仿宋" w:cs="仿宋"/>
          <w:sz w:val="32"/>
          <w:szCs w:val="32"/>
        </w:rPr>
        <w:t>制机制改革为动力，加快塑造与自治区经济社会发展相适应的现代化人力资源，不断促进就业质的有效提升和量的合理增长，逐步形成就业机会更加充分、就业环境更加公平、就业结构更加优化、人岗匹配更加高效、劳动关系更加和谐的局面，为自治区办好两件大事、书写中国式现代化内蒙古新篇章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二、推动经济社会发展与就业促进协调联动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（一）树牢就业优先导向。</w:t>
      </w:r>
      <w:r>
        <w:rPr>
          <w:rFonts w:hint="eastAsia" w:ascii="仿宋" w:hAnsi="仿宋" w:eastAsia="仿宋" w:cs="仿宋"/>
          <w:sz w:val="32"/>
          <w:szCs w:val="32"/>
        </w:rPr>
        <w:t>将高质量充分就业作为经济社会发展的优先目标，建立重大政策、重大项目、重大生产力布局就业影响评估机制，促进就业政策与产业、投资、外贸、消费、金融等政策协调联动。优先发展吸纳就业能力强的产业和企业，提高第二产业就业比重，扩大第三产业就业容量。在促进区域协调发展中，主动承接资金、技术和产业转移，打造新的就业集聚区和就业增长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（二）培育就业扩容提质新动能。</w:t>
      </w:r>
      <w:r>
        <w:rPr>
          <w:rFonts w:hint="eastAsia" w:ascii="仿宋" w:hAnsi="仿宋" w:eastAsia="仿宋" w:cs="仿宋"/>
          <w:sz w:val="32"/>
          <w:szCs w:val="32"/>
        </w:rPr>
        <w:t>聚焦打造北方数字经济发展高地，深入挖掘数字经济领域就业岗位，拓展数字经济就业新空间。围绕发展低碳循环经济、生态环境治理等绿色产业，加强用工服务对接，促进就地就近就业。用好财政金融政策，支持发展健康、养老、文旅等产业，催生银发经济新的就业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（三）大力发展人力资源服务业。</w:t>
      </w:r>
      <w:r>
        <w:rPr>
          <w:rFonts w:hint="eastAsia" w:ascii="仿宋" w:hAnsi="仿宋" w:eastAsia="仿宋" w:cs="仿宋"/>
          <w:sz w:val="32"/>
          <w:szCs w:val="32"/>
        </w:rPr>
        <w:t>建设统一开放、竞争有序的人力资源市场，高标准打造国家、自治区级人力资源服务产业园，促进人力资源有效匹配。注重在招商引资中引进有影响力的人力资源服务企业，培育一批具有竞争力的优质企业，促进行业数字化转型。实施人力资源服务业高端人才培养计划，培养一批复合型高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三、着力解决结构性就业矛盾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（四）培养符合市场需求的高素质人才。</w:t>
      </w:r>
      <w:r>
        <w:rPr>
          <w:rFonts w:hint="eastAsia" w:ascii="仿宋" w:hAnsi="仿宋" w:eastAsia="仿宋" w:cs="仿宋"/>
          <w:sz w:val="32"/>
          <w:szCs w:val="32"/>
        </w:rPr>
        <w:t>各盟市和各行业主管部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门要建立分层次分类型分领域人才需求预测机制，定期编制发布人才需求报告和人才需求目录。紧盯市场需求优化调整院校现有专业、培育交叉融合专业，提高人才培养与市场需求契合度。跟踪调查高校毕业生就业状况，对就业质量不高的专业给予红黄牌提示，并相应核减办学资源配置、减少招生计划安排。推进职普融通、产教融合、科教融汇，全面推行“工学一体化”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“双元制”等技能人才培养模式，到2027年高技能人才占技能人才比例提高到35%左右。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（五）促进技工教育高质量特色发展。</w:t>
      </w:r>
      <w:r>
        <w:rPr>
          <w:rFonts w:hint="eastAsia" w:ascii="仿宋" w:hAnsi="仿宋" w:eastAsia="仿宋" w:cs="仿宋"/>
          <w:sz w:val="32"/>
          <w:szCs w:val="32"/>
        </w:rPr>
        <w:t>围绕产业布局发展技工教育，在职业教育经费中划出一定比例支持技工院校建设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。根据高等职业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学校设置制度规定，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将符合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条件的技师学院纳入高等职业学校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序列。允许企业</w:t>
      </w:r>
      <w:r>
        <w:rPr>
          <w:rFonts w:hint="eastAsia" w:ascii="仿宋" w:hAnsi="仿宋" w:eastAsia="仿宋" w:cs="仿宋"/>
          <w:sz w:val="32"/>
          <w:szCs w:val="32"/>
        </w:rPr>
        <w:t>使用职工教育经费建立技工学校、职业学校。组建一批行业性、区域性技工教育联盟（集团）。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（六）畅通技能人才发展渠道。</w:t>
      </w:r>
      <w:r>
        <w:rPr>
          <w:rFonts w:hint="eastAsia" w:ascii="仿宋" w:hAnsi="仿宋" w:eastAsia="仿宋" w:cs="仿宋"/>
          <w:sz w:val="32"/>
          <w:szCs w:val="32"/>
        </w:rPr>
        <w:t>深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化“技能内蒙古行动”，健</w:t>
      </w:r>
      <w:r>
        <w:rPr>
          <w:rFonts w:hint="eastAsia" w:ascii="仿宋" w:hAnsi="仿宋" w:eastAsia="仿宋" w:cs="仿宋"/>
          <w:sz w:val="32"/>
          <w:szCs w:val="32"/>
        </w:rPr>
        <w:t>全产业工人等各类群体终身职业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技能培训制度。推动职业资格、</w:t>
      </w:r>
      <w:r>
        <w:rPr>
          <w:rFonts w:hint="eastAsia" w:ascii="仿宋" w:hAnsi="仿宋" w:eastAsia="仿宋" w:cs="仿宋"/>
          <w:sz w:val="32"/>
          <w:szCs w:val="32"/>
        </w:rPr>
        <w:t>职业技能等级与相应职称、学历双向比照认定，挖掘培育具有地方特色的新职业序列。健全以全区职业技能大赛为龙头的“1+N”竞赛体系，加强竞赛集训基地建设，加大技能人才选拔力度，落实表彰奖励政策。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（七）加大技能强企支持力度。</w:t>
      </w:r>
      <w:r>
        <w:rPr>
          <w:rFonts w:hint="eastAsia" w:ascii="仿宋" w:hAnsi="仿宋" w:eastAsia="仿宋" w:cs="仿宋"/>
          <w:sz w:val="32"/>
          <w:szCs w:val="32"/>
        </w:rPr>
        <w:t>围绕招商引资项目、新落地企业和重点产业急需紧缺人才，引导企业、院校、公共实训基地加强合作，开展订单、定向、定岗培训，按规定给予培训补贴。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指导企业开展职业技能等级自主评价、特级技师和首席技师评聘工作。对企业建立的劳模工匠创新工作室、技能大师工作室和高技能人才培训基地，按规定给予资金支持。指导企业按规定足额提取和使用职工教育经费，保证60%以上的经费用于一线职工教育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四、完善重点群体就业支持体系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（八）促进高校毕业生等青年就业。</w:t>
      </w:r>
      <w:r>
        <w:rPr>
          <w:rFonts w:hint="eastAsia" w:ascii="仿宋" w:hAnsi="仿宋" w:eastAsia="仿宋" w:cs="仿宋"/>
          <w:sz w:val="32"/>
          <w:szCs w:val="32"/>
        </w:rPr>
        <w:t>深入挖掘先进制造业、现代服务业和基层医疗卫生、养老服务、社会工作、司法辅助、科研助理等就业岗位。面向高校毕业生开展分专业、分行业、分产业的招聘活动。建立就业信息共享机制，加强教育和人力资源社会保障部门的就业服务有效衔接。完善就业实习见习制度。将留学回国人员纳入就业创业政策支持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（九）做好退役军人就业服务保障。</w:t>
      </w:r>
      <w:r>
        <w:rPr>
          <w:rFonts w:hint="eastAsia" w:ascii="仿宋" w:hAnsi="仿宋" w:eastAsia="仿宋" w:cs="仿宋"/>
          <w:sz w:val="32"/>
          <w:szCs w:val="32"/>
        </w:rPr>
        <w:t>完善退役军人教育培训体系，强化“教育培训+拓岗就业”。注重从退役军人党员中培养选拔嘎查村（社区）党组织成员。鼓励优秀退役军人到退役军人服务机构工作。支持符合条件的退役军人到中小学任教，各地在制定中小学教师招聘计划时，可面向退役军人单列计划，并综合考虑服役年限等因素相应放宽年龄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（十）拓宽农村牧区劳动力就业增收空间。</w:t>
      </w:r>
      <w:r>
        <w:rPr>
          <w:rFonts w:hint="eastAsia" w:ascii="仿宋" w:hAnsi="仿宋" w:eastAsia="仿宋" w:cs="仿宋"/>
          <w:sz w:val="32"/>
          <w:szCs w:val="32"/>
        </w:rPr>
        <w:t>开展重大项目、重点企业用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工需求调查，通过产业发展和用工服务促进农牧民就地就近就业。构建京蒙、沿黄省区、西部省区、东北三省一区和盟市间“4+N”劳务协作联盟，拓宽农牧民外出就业渠道。有针对性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开展建筑、维修、家政、餐饮、物流、新职业新业态等相关职业技能培训，打造“职业技能培训+劳务”品牌。对进城农牧民工及随迁家属开展新市民培训，促进农牧民工融入城市。整合村级劳动保障协理员、社会救助协理员队伍，加强农村牧区就业、救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（十一）强化就业困难人员帮扶救助。</w:t>
      </w:r>
      <w:r>
        <w:rPr>
          <w:rFonts w:hint="eastAsia" w:ascii="仿宋" w:hAnsi="仿宋" w:eastAsia="仿宋" w:cs="仿宋"/>
          <w:sz w:val="32"/>
          <w:szCs w:val="32"/>
        </w:rPr>
        <w:t>加强数据信息共享比对，精准识别大龄、残疾、较长时间失业等就业困难群体，广泛搜集适合援助对象的城乡社区岗位、灵活就业岗位，实施部门联动分类帮扶。发挥好公益性岗位兜底作用。完善就业与失业保险、最低生活保障的联动机制，落实低保渐退、就业成本扣减等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（十二）优化自主创业灵活就业环境。</w:t>
      </w:r>
      <w:r>
        <w:rPr>
          <w:rFonts w:hint="eastAsia" w:ascii="仿宋" w:hAnsi="仿宋" w:eastAsia="仿宋" w:cs="仿宋"/>
          <w:sz w:val="32"/>
          <w:szCs w:val="32"/>
        </w:rPr>
        <w:t>深化“创业内蒙古行动”，加快构建创业支持体系，开展创业指导大师室创建工作，持续优化创业政策环境，促进灵活就业，规范平台企业用工和成立工会等工作。加强流动人员人事档案管理。推进新就业形态职业伤害保障工作。建立新就业形态一站式调解机制，推动劳动纠纷一体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五、健全就业公共服务体系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（十三）提高就业公共服务可及性。</w:t>
      </w:r>
      <w:r>
        <w:rPr>
          <w:rFonts w:hint="eastAsia" w:ascii="仿宋" w:hAnsi="仿宋" w:eastAsia="仿宋" w:cs="仿宋"/>
          <w:sz w:val="32"/>
          <w:szCs w:val="32"/>
        </w:rPr>
        <w:t>将基层就业公共服务融入以党建引领基层治理范畴，纳入基层民生保障服务事项。联合各类企事业单位、社会组织打造“家门口”就业服务站、“15分钟”就业服务圈。完善服务事项清单和经办规程，保障劳动者在常住地、就业地享受就业创业服务。推动公共就业服务机构和经营性人力资源服务机构、技能培训机构信息联通、服务融通，形成政策宣传、职业指导、技能培训、岗位推介、跟踪回访全链条就业服务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（十四）推行数字赋能的就业公共服务模式。</w:t>
      </w:r>
      <w:r>
        <w:rPr>
          <w:rFonts w:hint="eastAsia" w:ascii="仿宋" w:hAnsi="仿宋" w:eastAsia="仿宋" w:cs="仿宋"/>
          <w:sz w:val="32"/>
          <w:szCs w:val="32"/>
        </w:rPr>
        <w:t>加快推进全区统一的就业服务平台建设，配备岗位智能匹配信息化设备，推广“大数据+铁脚板”就业服务模式。集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中打造政府部门主导、市场</w:t>
      </w:r>
      <w:r>
        <w:rPr>
          <w:rFonts w:hint="eastAsia" w:ascii="仿宋" w:hAnsi="仿宋" w:eastAsia="仿宋" w:cs="仿宋"/>
          <w:sz w:val="32"/>
          <w:szCs w:val="32"/>
        </w:rPr>
        <w:t>机构广泛参与的求职招聘线上平台，促进供需高效匹配。加快推进电子劳动合同全覆盖。推进人力资源社会保障部门与教育、公安、民政、税务、市场监管等部门数据互联互通，实现业务协同和数据共享。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六、加强劳动者就业权益保障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（十五）构建和谐劳动关系。</w:t>
      </w:r>
      <w:r>
        <w:rPr>
          <w:rFonts w:hint="eastAsia" w:ascii="仿宋" w:hAnsi="仿宋" w:eastAsia="仿宋" w:cs="仿宋"/>
          <w:sz w:val="32"/>
          <w:szCs w:val="32"/>
        </w:rPr>
        <w:t>完善党委领导的政府、工会、企业三方共同参与的劳动关系协商协调机制。加强劳动保障监察、劳动关系协调、劳动人事争议调解仲裁队伍建设，配齐配强行政执法、矛盾化解力量。健全就业歧视救济机制，加大劳动保障监察执法力度，做好民事支持起诉、公益诉讼、法律援助等工作。健全人力资源服务信用管理制度，完善招聘信息发布审查和投诉处理机制，持续整治人力资源市场秩序，严厉打击欠薪欠保、违法裁员、虚假招聘、“黑中介”等违法违规行为。做好超龄劳动者劳动权益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（十六）促进劳动报酬合理增长。</w:t>
      </w:r>
      <w:r>
        <w:rPr>
          <w:rFonts w:hint="eastAsia" w:ascii="仿宋" w:hAnsi="仿宋" w:eastAsia="仿宋" w:cs="仿宋"/>
          <w:sz w:val="32"/>
          <w:szCs w:val="32"/>
        </w:rPr>
        <w:t>健全最低工资标准调整评估机制。引导企业建立健全工资决定、合理增长和支付保障制度。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完善国有企业薪酬管理制度。推进高等学校、科研院所薪酬制度改革。加强企业薪酬调查，构建多领域、多层次、多类型的信息发布制度，按年度发布企业薪酬调查信息、企业和分行业工资指导线。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七、凝聚促进高质量充分就业的工作合力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坚持党对就业工作的全面领导，完善政府领导、人力资源社会保障部门牵头、相关部门密切配合、社会各界共同参与的就业工作体系。建立各部门促进高质量充分就业责任清单和就业岗位</w:t>
      </w: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归集发布机制。将就业工作作为旗县以上党政领导班子绩效考核内容，按有关规定开展就业工作表彰。健全高质量充分就业指标体系和统计监测体系，组织开展高质量充分就业评估。加快建设就业失业监测预警体系，落实企业规模性裁员减员及突发事件报告制度。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176" w:rightChars="560"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2024年12月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FreeSerif" w:hAnsi="FreeSerif" w:eastAsia="仿宋" w:cs="FreeSerif"/>
          <w:sz w:val="32"/>
          <w:szCs w:val="32"/>
        </w:rPr>
      </w:pPr>
    </w:p>
    <w:p>
      <w:pPr>
        <w:pStyle w:val="5"/>
        <w:tabs>
          <w:tab w:val="left" w:pos="7560"/>
        </w:tabs>
        <w:wordWrap w:val="0"/>
        <w:ind w:left="0" w:leftChars="0" w:firstLine="0" w:firstLineChars="0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</w:t>
      </w:r>
    </w:p>
    <w:tbl>
      <w:tblPr>
        <w:tblStyle w:val="10"/>
        <w:tblW w:w="910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7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7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ascii="宋体" w:hAnsi="宋体" w:cs="宋体"/>
          <w:kern w:val="0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47520" cy="491490"/>
                                  <wp:effectExtent l="0" t="0" r="5080" b="3810"/>
                                  <wp:docPr id="2" name="图片 3" descr="C:\Users\Administrator\Desktop\NZF35.jpgNZF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\Desktop\NZF35.jpgNZF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752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eOlH4r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47520" cy="491490"/>
                            <wp:effectExtent l="0" t="0" r="5080" b="3810"/>
                            <wp:docPr id="2" name="图片 3" descr="C:\Users\Administrator\Desktop\NZF35.jpgNZF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\Desktop\NZF35.jpgNZF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752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F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2D74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6E0F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576FE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4210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551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E16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2555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2223"/>
    <w:rsid w:val="00AA3212"/>
    <w:rsid w:val="00AA3545"/>
    <w:rsid w:val="00AA4BD1"/>
    <w:rsid w:val="00AA70F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84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229A"/>
    <w:rsid w:val="00B3342A"/>
    <w:rsid w:val="00B37486"/>
    <w:rsid w:val="00B40DCF"/>
    <w:rsid w:val="00B41574"/>
    <w:rsid w:val="00B4213B"/>
    <w:rsid w:val="00B43C7B"/>
    <w:rsid w:val="00B4489A"/>
    <w:rsid w:val="00B4656E"/>
    <w:rsid w:val="00B47AB4"/>
    <w:rsid w:val="00B509ED"/>
    <w:rsid w:val="00B54162"/>
    <w:rsid w:val="00B542D3"/>
    <w:rsid w:val="00B55392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6A67"/>
    <w:rsid w:val="00BB77ED"/>
    <w:rsid w:val="00BC07D9"/>
    <w:rsid w:val="00BC0F68"/>
    <w:rsid w:val="00BC5ACB"/>
    <w:rsid w:val="00BD0A62"/>
    <w:rsid w:val="00BD0B0A"/>
    <w:rsid w:val="00BD156F"/>
    <w:rsid w:val="00BD1AAA"/>
    <w:rsid w:val="00BD2C83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335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D6B5C"/>
    <w:rsid w:val="00CE2266"/>
    <w:rsid w:val="00CE5E6E"/>
    <w:rsid w:val="00CE618F"/>
    <w:rsid w:val="00CE6508"/>
    <w:rsid w:val="00CF260C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3FD2"/>
    <w:rsid w:val="00D54B07"/>
    <w:rsid w:val="00D55776"/>
    <w:rsid w:val="00D60772"/>
    <w:rsid w:val="00D60B47"/>
    <w:rsid w:val="00D616FD"/>
    <w:rsid w:val="00D6281A"/>
    <w:rsid w:val="00D719F3"/>
    <w:rsid w:val="00D721B4"/>
    <w:rsid w:val="00D741BA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1AE0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33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E5421C4"/>
    <w:rsid w:val="0F6E701B"/>
    <w:rsid w:val="181F7497"/>
    <w:rsid w:val="1A3A4DBC"/>
    <w:rsid w:val="1DD11934"/>
    <w:rsid w:val="1ED24BFE"/>
    <w:rsid w:val="1F48029C"/>
    <w:rsid w:val="28B640A0"/>
    <w:rsid w:val="2D561462"/>
    <w:rsid w:val="2E84799A"/>
    <w:rsid w:val="338A1A32"/>
    <w:rsid w:val="370A6D13"/>
    <w:rsid w:val="3EBB8376"/>
    <w:rsid w:val="497D35B6"/>
    <w:rsid w:val="499F0266"/>
    <w:rsid w:val="4C134A8D"/>
    <w:rsid w:val="502269D0"/>
    <w:rsid w:val="54C05906"/>
    <w:rsid w:val="571C70EC"/>
    <w:rsid w:val="578B7ADF"/>
    <w:rsid w:val="58C9708F"/>
    <w:rsid w:val="58F93B64"/>
    <w:rsid w:val="59F58F8B"/>
    <w:rsid w:val="5CDFE58C"/>
    <w:rsid w:val="62F404F9"/>
    <w:rsid w:val="6A1C2667"/>
    <w:rsid w:val="6B5B8C84"/>
    <w:rsid w:val="6DFA1037"/>
    <w:rsid w:val="6ECF23D3"/>
    <w:rsid w:val="6F6F548C"/>
    <w:rsid w:val="6FDE069E"/>
    <w:rsid w:val="7575675D"/>
    <w:rsid w:val="75765346"/>
    <w:rsid w:val="77FCF7A4"/>
    <w:rsid w:val="79F98C4F"/>
    <w:rsid w:val="7A607A6E"/>
    <w:rsid w:val="7EFF8E95"/>
    <w:rsid w:val="7FFFECA5"/>
    <w:rsid w:val="96E904E0"/>
    <w:rsid w:val="B7BC6C0E"/>
    <w:rsid w:val="BB983129"/>
    <w:rsid w:val="BF970533"/>
    <w:rsid w:val="CBE75590"/>
    <w:rsid w:val="E2BEA94F"/>
    <w:rsid w:val="E70FD1F0"/>
    <w:rsid w:val="E7BE17BB"/>
    <w:rsid w:val="ECF132CF"/>
    <w:rsid w:val="F6F616D2"/>
    <w:rsid w:val="FB7F2611"/>
    <w:rsid w:val="FF5C7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next w:val="1"/>
    <w:link w:val="16"/>
    <w:qFormat/>
    <w:uiPriority w:val="0"/>
    <w:rPr>
      <w:rFonts w:ascii="Calibri" w:hAnsi="Calibri" w:eastAsia="宋体" w:cs="Times New Roman"/>
      <w:sz w:val="28"/>
      <w:szCs w:val="22"/>
      <w:lang w:bidi="ar-SA"/>
    </w:rPr>
  </w:style>
  <w:style w:type="paragraph" w:styleId="4">
    <w:name w:val="Body Text Indent"/>
    <w:basedOn w:val="1"/>
    <w:qFormat/>
    <w:uiPriority w:val="0"/>
    <w:pPr>
      <w:ind w:firstLine="630" w:firstLineChars="225"/>
      <w:jc w:val="left"/>
    </w:pPr>
    <w:rPr>
      <w:rFonts w:ascii="宋体" w:hAnsi="Calibri" w:eastAsia="宋体" w:cs="Times New Roman"/>
      <w:sz w:val="28"/>
      <w:szCs w:val="20"/>
    </w:rPr>
  </w:style>
  <w:style w:type="paragraph" w:styleId="5">
    <w:name w:val="Date"/>
    <w:basedOn w:val="1"/>
    <w:next w:val="1"/>
    <w:link w:val="17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link w:val="18"/>
    <w:semiHidden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5">
    <w:name w:val="BodyText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8"/>
      <w:szCs w:val="22"/>
      <w:lang w:bidi="ar-SA"/>
    </w:rPr>
  </w:style>
  <w:style w:type="character" w:customStyle="1" w:styleId="16">
    <w:name w:val="正文文本 Char"/>
    <w:link w:val="3"/>
    <w:qFormat/>
    <w:uiPriority w:val="0"/>
    <w:rPr>
      <w:rFonts w:ascii="Calibri" w:hAnsi="Calibri" w:eastAsia="宋体" w:cs="Times New Roman"/>
      <w:sz w:val="28"/>
    </w:rPr>
  </w:style>
  <w:style w:type="character" w:customStyle="1" w:styleId="17">
    <w:name w:val=" Char Char1"/>
    <w:basedOn w:val="12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8">
    <w:name w:val="批注框文本 Char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 Char Char2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0">
    <w:name w:val=" Char Char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1">
    <w:name w:val="页眉 Char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3">
    <w:name w:val="网格型1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6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哈斯高娃</cp:lastModifiedBy>
  <cp:lastPrinted>2024-12-10T15:25:30Z</cp:lastPrinted>
  <dcterms:modified xsi:type="dcterms:W3CDTF">2024-12-12T02:55:10Z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