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bookmarkStart w:id="0" w:name="标题"/>
      <w:bookmarkEnd w:id="0"/>
      <w:r>
        <w:rPr>
          <w:rFonts w:hint="eastAsia" w:ascii="方正小标宋_GBK" w:hAnsi="方正小标宋_GBK" w:eastAsia="方正小标宋_GBK" w:cs="方正小标宋_GBK"/>
          <w:b w:val="0"/>
          <w:bCs/>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关于加强推进基层统计工作的通知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仿宋" w:hAnsi="仿宋" w:eastAsia="仿宋" w:cs="仿宋"/>
          <w:sz w:val="32"/>
          <w:szCs w:val="32"/>
        </w:rPr>
      </w:pPr>
      <w:bookmarkStart w:id="3" w:name="_GoBack"/>
      <w:bookmarkStart w:id="1" w:name="缓急"/>
      <w:bookmarkEnd w:id="1"/>
      <w:r>
        <w:rPr>
          <w:rFonts w:hint="eastAsia" w:ascii="仿宋" w:hAnsi="仿宋" w:eastAsia="仿宋" w:cs="仿宋"/>
          <w:sz w:val="32"/>
          <w:szCs w:val="32"/>
          <w:lang w:eastAsia="zh-CN"/>
        </w:rPr>
        <w:t>内政办字〔2022〕17号</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w:t>
      </w:r>
      <w:r>
        <w:rPr>
          <w:rFonts w:hint="eastAsia" w:ascii="仿宋" w:hAnsi="仿宋" w:eastAsia="仿宋" w:cs="仿宋"/>
          <w:sz w:val="32"/>
          <w:szCs w:val="32"/>
          <w:lang w:eastAsia="zh-CN"/>
        </w:rPr>
        <w:t>，自治区各有关委、办、厅、局</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为认真落实</w:t>
      </w:r>
      <w:r>
        <w:rPr>
          <w:rFonts w:hint="eastAsia" w:ascii="仿宋" w:hAnsi="仿宋" w:eastAsia="仿宋" w:cs="仿宋"/>
          <w:sz w:val="32"/>
          <w:szCs w:val="32"/>
        </w:rPr>
        <w:t>《内蒙古自治区人民政府办公厅关于进一步加强和规范苏木乡镇统计工作的意见》（内政办发〔2020〕11号）和《内蒙古自治区人民政府办公厅关于印发</w:t>
      </w:r>
      <w:r>
        <w:rPr>
          <w:rFonts w:hint="eastAsia" w:ascii="仿宋" w:hAnsi="仿宋" w:eastAsia="仿宋" w:cs="仿宋"/>
          <w:sz w:val="32"/>
          <w:szCs w:val="32"/>
          <w:lang w:eastAsia="zh-CN"/>
        </w:rPr>
        <w:t>〈</w:t>
      </w:r>
      <w:r>
        <w:rPr>
          <w:rFonts w:hint="eastAsia" w:ascii="仿宋" w:hAnsi="仿宋" w:eastAsia="仿宋" w:cs="仿宋"/>
          <w:sz w:val="32"/>
          <w:szCs w:val="32"/>
        </w:rPr>
        <w:t>内蒙古自治</w:t>
      </w:r>
      <w:r>
        <w:rPr>
          <w:rFonts w:hint="eastAsia" w:ascii="仿宋" w:hAnsi="仿宋" w:eastAsia="仿宋" w:cs="仿宋"/>
          <w:spacing w:val="-6"/>
          <w:sz w:val="32"/>
          <w:szCs w:val="32"/>
        </w:rPr>
        <w:t>区旗县级、</w:t>
      </w:r>
      <w:r>
        <w:rPr>
          <w:rFonts w:hint="eastAsia" w:ascii="仿宋" w:hAnsi="仿宋" w:eastAsia="仿宋" w:cs="仿宋"/>
          <w:sz w:val="32"/>
          <w:szCs w:val="32"/>
        </w:rPr>
        <w:t>部门、工业园区、企业统计工作规范化管理办法</w:t>
      </w:r>
      <w:r>
        <w:rPr>
          <w:rFonts w:hint="eastAsia" w:ascii="仿宋" w:hAnsi="仿宋" w:eastAsia="仿宋" w:cs="仿宋"/>
          <w:sz w:val="32"/>
          <w:szCs w:val="32"/>
          <w:lang w:eastAsia="zh-CN"/>
        </w:rPr>
        <w:t>〉</w:t>
      </w:r>
      <w:r>
        <w:rPr>
          <w:rFonts w:hint="eastAsia" w:ascii="仿宋" w:hAnsi="仿宋" w:eastAsia="仿宋" w:cs="仿宋"/>
          <w:sz w:val="32"/>
          <w:szCs w:val="32"/>
        </w:rPr>
        <w:t>的通知》（内政办发〔2021〕33号）</w:t>
      </w:r>
      <w:r>
        <w:rPr>
          <w:rFonts w:hint="eastAsia" w:ascii="仿宋" w:hAnsi="仿宋" w:eastAsia="仿宋" w:cs="仿宋"/>
          <w:sz w:val="32"/>
          <w:szCs w:val="32"/>
          <w:lang w:eastAsia="zh-CN"/>
        </w:rPr>
        <w:t>有关要求</w:t>
      </w:r>
      <w:r>
        <w:rPr>
          <w:rFonts w:hint="eastAsia" w:ascii="仿宋" w:hAnsi="仿宋" w:eastAsia="仿宋" w:cs="仿宋"/>
          <w:sz w:val="32"/>
          <w:szCs w:val="32"/>
        </w:rPr>
        <w:t>，及时、准确、全面、真实掌握基本单位和调查单位名录库情况，经自治区人民政府同意，</w:t>
      </w:r>
      <w:r>
        <w:rPr>
          <w:rFonts w:hint="eastAsia" w:ascii="仿宋" w:hAnsi="仿宋" w:eastAsia="仿宋" w:cs="仿宋"/>
          <w:sz w:val="32"/>
          <w:szCs w:val="32"/>
          <w:lang w:eastAsia="zh-CN"/>
        </w:rPr>
        <w:t>现就加强推进基层统计工作有关事宜通知如下。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0"/>
        <w:textAlignment w:val="auto"/>
        <w:outlineLvl w:val="9"/>
        <w:rPr>
          <w:rFonts w:hint="eastAsia" w:ascii="仿宋" w:hAnsi="仿宋" w:eastAsia="仿宋" w:cs="仿宋"/>
          <w:sz w:val="32"/>
          <w:szCs w:val="32"/>
        </w:rPr>
      </w:pPr>
      <w:r>
        <w:rPr>
          <w:rFonts w:hint="eastAsia" w:ascii="仿宋" w:hAnsi="仿宋" w:eastAsia="仿宋" w:cs="仿宋"/>
          <w:sz w:val="32"/>
          <w:szCs w:val="32"/>
        </w:rPr>
        <w:t>将“四上”</w:t>
      </w:r>
      <w:r>
        <w:rPr>
          <w:rFonts w:hint="eastAsia" w:ascii="仿宋" w:hAnsi="仿宋" w:eastAsia="仿宋" w:cs="仿宋"/>
          <w:sz w:val="32"/>
          <w:szCs w:val="32"/>
          <w:lang w:eastAsia="zh-CN"/>
        </w:rPr>
        <w:t>（</w:t>
      </w:r>
      <w:r>
        <w:rPr>
          <w:rFonts w:hint="eastAsia" w:ascii="仿宋" w:hAnsi="仿宋" w:eastAsia="仿宋" w:cs="仿宋"/>
          <w:sz w:val="32"/>
          <w:szCs w:val="32"/>
        </w:rPr>
        <w:t>规模以上工业，有资质的建筑业和有开发经营活动的全部房地产开发经营业，限额以上批发、零售、住宿和餐饮业，规模以上服务业）和其他有5000万元以上在建项目的法人单位入退库工作延伸至苏木乡镇（街道办事处）、工业园区，基本单位名录库维护更新工作延伸至嘎查村（社区），作为</w:t>
      </w:r>
      <w:r>
        <w:rPr>
          <w:rFonts w:hint="eastAsia" w:ascii="仿宋" w:hAnsi="仿宋" w:eastAsia="仿宋" w:cs="仿宋"/>
          <w:sz w:val="32"/>
          <w:szCs w:val="32"/>
          <w:lang w:eastAsia="zh-CN"/>
        </w:rPr>
        <w:t>苏木</w:t>
      </w:r>
      <w:r>
        <w:rPr>
          <w:rFonts w:hint="eastAsia" w:ascii="仿宋" w:hAnsi="仿宋" w:eastAsia="仿宋" w:cs="仿宋"/>
          <w:sz w:val="32"/>
          <w:szCs w:val="32"/>
        </w:rPr>
        <w:t>乡镇（街道办事处）统计“八有八化”工作任务的延伸。通过将名录库维护更新和入退库工作向下延伸，进一步提高统计源头数据质量，做到应统尽统，真实反映自治区经济社会发展水平。</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工作标准</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textAlignment w:val="auto"/>
        <w:outlineLvl w:val="9"/>
        <w:rPr>
          <w:rFonts w:hint="eastAsia" w:ascii="仿宋" w:hAnsi="仿宋" w:eastAsia="仿宋" w:cs="仿宋"/>
          <w:sz w:val="32"/>
          <w:szCs w:val="32"/>
        </w:rPr>
      </w:pPr>
      <w:r>
        <w:rPr>
          <w:rFonts w:hint="eastAsia" w:ascii="仿宋" w:hAnsi="仿宋" w:eastAsia="仿宋" w:cs="仿宋"/>
          <w:spacing w:val="-6"/>
          <w:sz w:val="32"/>
          <w:szCs w:val="32"/>
        </w:rPr>
        <w:t>各地区、</w:t>
      </w:r>
      <w:r>
        <w:rPr>
          <w:rFonts w:hint="eastAsia" w:ascii="仿宋" w:hAnsi="仿宋" w:eastAsia="仿宋" w:cs="仿宋"/>
          <w:spacing w:val="-6"/>
          <w:sz w:val="32"/>
          <w:szCs w:val="32"/>
          <w:lang w:eastAsia="zh-CN"/>
        </w:rPr>
        <w:t>各</w:t>
      </w:r>
      <w:r>
        <w:rPr>
          <w:rFonts w:hint="eastAsia" w:ascii="仿宋" w:hAnsi="仿宋" w:eastAsia="仿宋" w:cs="仿宋"/>
          <w:spacing w:val="-6"/>
          <w:sz w:val="32"/>
          <w:szCs w:val="32"/>
        </w:rPr>
        <w:t>工业园区要在自治区统计局的统一组织指导下，</w:t>
      </w:r>
      <w:r>
        <w:rPr>
          <w:rFonts w:hint="eastAsia" w:ascii="仿宋" w:hAnsi="仿宋" w:eastAsia="仿宋" w:cs="仿宋"/>
          <w:sz w:val="32"/>
          <w:szCs w:val="32"/>
        </w:rPr>
        <w:t>严格按照《全国统计系统基本单位名录库建设维护与使用管理办法》（国统字〔2021〕134号）</w:t>
      </w:r>
      <w:r>
        <w:rPr>
          <w:rFonts w:hint="eastAsia" w:ascii="仿宋" w:hAnsi="仿宋" w:eastAsia="仿宋" w:cs="仿宋"/>
          <w:sz w:val="32"/>
          <w:szCs w:val="32"/>
          <w:lang w:eastAsia="zh-CN"/>
        </w:rPr>
        <w:t>相关规定</w:t>
      </w:r>
      <w:r>
        <w:rPr>
          <w:rFonts w:hint="eastAsia" w:ascii="仿宋" w:hAnsi="仿宋" w:eastAsia="仿宋" w:cs="仿宋"/>
          <w:sz w:val="32"/>
          <w:szCs w:val="32"/>
        </w:rPr>
        <w:t>开展工作，细化</w:t>
      </w:r>
      <w:r>
        <w:rPr>
          <w:rFonts w:hint="eastAsia" w:ascii="仿宋" w:hAnsi="仿宋" w:eastAsia="仿宋" w:cs="仿宋"/>
          <w:sz w:val="32"/>
          <w:szCs w:val="32"/>
          <w:lang w:eastAsia="zh-CN"/>
        </w:rPr>
        <w:t>具体</w:t>
      </w:r>
      <w:r>
        <w:rPr>
          <w:rFonts w:hint="eastAsia" w:ascii="仿宋" w:hAnsi="仿宋" w:eastAsia="仿宋" w:cs="仿宋"/>
          <w:sz w:val="32"/>
          <w:szCs w:val="32"/>
        </w:rPr>
        <w:t>方案，规范工作流程，制定质量控制办法，提高数据采集和数据处理的电子化程度。</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工作</w:t>
      </w:r>
      <w:r>
        <w:rPr>
          <w:rFonts w:hint="eastAsia" w:ascii="黑体" w:hAnsi="黑体" w:eastAsia="黑体" w:cs="黑体"/>
          <w:sz w:val="32"/>
          <w:szCs w:val="32"/>
        </w:rPr>
        <w:t>要求</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kern w:val="0"/>
          <w:sz w:val="32"/>
          <w:szCs w:val="32"/>
        </w:rPr>
        <w:t>（一）加强组织领导。</w:t>
      </w:r>
      <w:r>
        <w:rPr>
          <w:rFonts w:hint="eastAsia" w:ascii="仿宋" w:hAnsi="仿宋" w:eastAsia="仿宋" w:cs="仿宋"/>
          <w:sz w:val="32"/>
          <w:szCs w:val="32"/>
        </w:rPr>
        <w:t>地方各级人民政府要</w:t>
      </w:r>
      <w:r>
        <w:rPr>
          <w:rFonts w:hint="eastAsia" w:ascii="仿宋" w:hAnsi="仿宋" w:eastAsia="仿宋" w:cs="仿宋"/>
          <w:spacing w:val="-6"/>
          <w:sz w:val="32"/>
          <w:szCs w:val="32"/>
        </w:rPr>
        <w:t>加强对工业园区、</w:t>
      </w:r>
      <w:r>
        <w:rPr>
          <w:rFonts w:hint="eastAsia" w:ascii="仿宋" w:hAnsi="仿宋" w:eastAsia="仿宋" w:cs="仿宋"/>
          <w:sz w:val="32"/>
          <w:szCs w:val="32"/>
        </w:rPr>
        <w:t>苏木乡镇（街道办事处）、嘎查村（社区）统计基层工作的组织领导，围绕“谁来做、怎么做、如何做好”，进一步明确责任分工，建立专岗专人负责机制，有效推动相关工作的落实。</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kern w:val="0"/>
          <w:sz w:val="32"/>
          <w:szCs w:val="32"/>
        </w:rPr>
        <w:t>（二）加大经费支持。</w:t>
      </w:r>
      <w:r>
        <w:rPr>
          <w:rFonts w:hint="eastAsia" w:ascii="仿宋" w:hAnsi="仿宋" w:eastAsia="仿宋" w:cs="仿宋"/>
          <w:sz w:val="32"/>
          <w:szCs w:val="32"/>
        </w:rPr>
        <w:t>各地区要将工业园区、苏木乡镇（街道办事处）、嘎查村（社区）统计工作经费纳入地方财政经费予以保障，确保统计工作有序开展。</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textAlignment w:val="auto"/>
        <w:outlineLvl w:val="9"/>
        <w:rPr>
          <w:rFonts w:hint="eastAsia" w:ascii="仿宋" w:hAnsi="仿宋" w:eastAsia="仿宋" w:cs="仿宋"/>
          <w:sz w:val="32"/>
          <w:szCs w:val="32"/>
        </w:rPr>
      </w:pPr>
      <w:r>
        <w:rPr>
          <w:rFonts w:hint="eastAsia" w:ascii="楷体" w:hAnsi="楷体" w:eastAsia="楷体" w:cs="楷体"/>
          <w:kern w:val="0"/>
          <w:sz w:val="32"/>
          <w:szCs w:val="32"/>
        </w:rPr>
        <w:t>（三）保障数据安全。</w:t>
      </w:r>
      <w:r>
        <w:rPr>
          <w:rFonts w:hint="eastAsia" w:ascii="仿宋" w:hAnsi="仿宋" w:eastAsia="仿宋" w:cs="仿宋"/>
          <w:sz w:val="32"/>
          <w:szCs w:val="32"/>
        </w:rPr>
        <w:t>各级统计人员必须严格遵守《中华人民共和国统计法》《中华人民共和国统计法实施条例》《全国经济普查条例》和安全保密有关规定，</w:t>
      </w:r>
      <w:r>
        <w:rPr>
          <w:rFonts w:hint="eastAsia" w:ascii="仿宋" w:hAnsi="仿宋" w:eastAsia="仿宋" w:cs="仿宋"/>
          <w:sz w:val="32"/>
          <w:szCs w:val="32"/>
          <w:lang w:eastAsia="zh-CN"/>
        </w:rPr>
        <w:t>认真</w:t>
      </w:r>
      <w:r>
        <w:rPr>
          <w:rFonts w:hint="eastAsia" w:ascii="仿宋" w:hAnsi="仿宋" w:eastAsia="仿宋" w:cs="仿宋"/>
          <w:sz w:val="32"/>
          <w:szCs w:val="32"/>
        </w:rPr>
        <w:t>落实信息安全责任，</w:t>
      </w:r>
      <w:r>
        <w:rPr>
          <w:rFonts w:hint="eastAsia" w:ascii="仿宋" w:hAnsi="仿宋" w:eastAsia="仿宋" w:cs="仿宋"/>
          <w:sz w:val="32"/>
          <w:szCs w:val="32"/>
          <w:lang w:eastAsia="zh-CN"/>
        </w:rPr>
        <w:t>确保</w:t>
      </w:r>
      <w:r>
        <w:rPr>
          <w:rFonts w:hint="eastAsia" w:ascii="仿宋" w:hAnsi="仿宋" w:eastAsia="仿宋" w:cs="仿宋"/>
          <w:sz w:val="32"/>
          <w:szCs w:val="32"/>
        </w:rPr>
        <w:t>名录库信息在存储、传输、处理、发布和应用等各环节的安全。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right"/>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right"/>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right"/>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right"/>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shd w:val="clear" w:color="auto" w:fill="FFFFFF"/>
        <w:tabs>
          <w:tab w:val="left" w:pos="7560"/>
        </w:tabs>
        <w:kinsoku/>
        <w:wordWrap/>
        <w:overflowPunct/>
        <w:topLinePunct/>
        <w:autoSpaceDE/>
        <w:autoSpaceDN/>
        <w:bidi w:val="0"/>
        <w:adjustRightInd/>
        <w:snapToGrid/>
        <w:spacing w:line="580" w:lineRule="exact"/>
        <w:ind w:left="0" w:leftChars="0" w:right="0" w:rightChars="0" w:firstLine="5219" w:firstLineChars="1631"/>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2022年3月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5"/>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bookmarkEnd w:id="3"/>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tabs>
          <w:tab w:val="left" w:pos="3096"/>
        </w:tabs>
        <w:kinsoku/>
        <w:wordWrap/>
        <w:overflowPunct/>
        <w:topLinePunct/>
        <w:autoSpaceDE/>
        <w:autoSpaceDN/>
        <w:bidi w:val="0"/>
        <w:adjustRightInd/>
        <w:snapToGrid/>
        <w:spacing w:line="58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320" w:firstLineChars="1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320" w:firstLineChars="1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320" w:firstLineChars="1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抄送：自治区党委</w:t>
      </w:r>
      <w:r>
        <w:rPr>
          <w:rFonts w:hint="eastAsia" w:ascii="仿宋" w:hAnsi="仿宋" w:eastAsia="仿宋" w:cs="仿宋"/>
          <w:sz w:val="28"/>
          <w:szCs w:val="28"/>
          <w:lang w:eastAsia="zh-CN"/>
        </w:rPr>
        <w:t>办公厅、</w:t>
      </w:r>
      <w:r>
        <w:rPr>
          <w:rFonts w:hint="eastAsia" w:ascii="仿宋" w:hAnsi="仿宋" w:eastAsia="仿宋" w:cs="仿宋"/>
          <w:sz w:val="28"/>
          <w:szCs w:val="28"/>
        </w:rPr>
        <w:t>人大常委会办公厅、政协办公厅</w:t>
      </w:r>
      <w:r>
        <w:rPr>
          <w:rFonts w:hint="eastAsia" w:ascii="仿宋" w:hAnsi="仿宋" w:eastAsia="仿宋" w:cs="仿宋"/>
          <w:sz w:val="28"/>
          <w:szCs w:val="28"/>
          <w:lang w:eastAsia="zh-CN"/>
        </w:rPr>
        <w:t>、纪委办</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both"/>
        <w:textAlignment w:val="auto"/>
        <w:outlineLvl w:val="9"/>
        <w:rPr>
          <w:rFonts w:hint="eastAsia"/>
          <w:sz w:val="28"/>
          <w:szCs w:val="28"/>
        </w:rPr>
      </w:pPr>
      <w:r>
        <w:rPr>
          <w:rFonts w:hint="eastAsia" w:ascii="仿宋" w:hAnsi="仿宋" w:eastAsia="仿宋" w:cs="仿宋"/>
          <w:sz w:val="28"/>
          <w:szCs w:val="28"/>
          <w:lang w:eastAsia="zh-CN"/>
        </w:rPr>
        <w:t>公厅</w:t>
      </w:r>
      <w:r>
        <w:rPr>
          <w:rFonts w:hint="eastAsia" w:ascii="仿宋" w:hAnsi="仿宋" w:eastAsia="仿宋" w:cs="仿宋"/>
          <w:sz w:val="28"/>
          <w:szCs w:val="28"/>
        </w:rPr>
        <w:t>。</w:t>
      </w:r>
      <w:bookmarkStart w:id="2" w:name="印章"/>
      <w:bookmarkEnd w:id="2"/>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6BB3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1654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16F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5CEF"/>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1237"/>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710"/>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B6AD1"/>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3B94DD8"/>
    <w:rsid w:val="04242139"/>
    <w:rsid w:val="055874AB"/>
    <w:rsid w:val="0A7E2D65"/>
    <w:rsid w:val="15DB6F38"/>
    <w:rsid w:val="17FF3DEC"/>
    <w:rsid w:val="1A835DE5"/>
    <w:rsid w:val="1EF7F707"/>
    <w:rsid w:val="1F907DC6"/>
    <w:rsid w:val="1FEC187D"/>
    <w:rsid w:val="1FFF5573"/>
    <w:rsid w:val="201E222B"/>
    <w:rsid w:val="217D23BA"/>
    <w:rsid w:val="23604667"/>
    <w:rsid w:val="25126793"/>
    <w:rsid w:val="2732693C"/>
    <w:rsid w:val="27E04077"/>
    <w:rsid w:val="27FF7BF5"/>
    <w:rsid w:val="29FE4AE8"/>
    <w:rsid w:val="2BC61A1A"/>
    <w:rsid w:val="2D2FE1E6"/>
    <w:rsid w:val="2DF96A56"/>
    <w:rsid w:val="2F7E66C1"/>
    <w:rsid w:val="33EFC75F"/>
    <w:rsid w:val="3AEB1601"/>
    <w:rsid w:val="3EEDEB7D"/>
    <w:rsid w:val="3F9FF400"/>
    <w:rsid w:val="3FD8E871"/>
    <w:rsid w:val="3FEF57DC"/>
    <w:rsid w:val="3FFD5617"/>
    <w:rsid w:val="415108F2"/>
    <w:rsid w:val="427830E7"/>
    <w:rsid w:val="436053BF"/>
    <w:rsid w:val="43F39EE9"/>
    <w:rsid w:val="462F46EB"/>
    <w:rsid w:val="47747C62"/>
    <w:rsid w:val="493C703C"/>
    <w:rsid w:val="49DF1F38"/>
    <w:rsid w:val="4DB71B76"/>
    <w:rsid w:val="55FD718E"/>
    <w:rsid w:val="57F7F114"/>
    <w:rsid w:val="57FE7C4E"/>
    <w:rsid w:val="594D200E"/>
    <w:rsid w:val="59C33F09"/>
    <w:rsid w:val="5AF94F58"/>
    <w:rsid w:val="5BB663BB"/>
    <w:rsid w:val="5BFB1B44"/>
    <w:rsid w:val="5C585145"/>
    <w:rsid w:val="5E5FAC6E"/>
    <w:rsid w:val="5E678ABA"/>
    <w:rsid w:val="5EF7A128"/>
    <w:rsid w:val="5FDE1625"/>
    <w:rsid w:val="5FEEC606"/>
    <w:rsid w:val="5FF3C609"/>
    <w:rsid w:val="5FF86C48"/>
    <w:rsid w:val="612A5090"/>
    <w:rsid w:val="62BB0192"/>
    <w:rsid w:val="65FBF333"/>
    <w:rsid w:val="67367477"/>
    <w:rsid w:val="68FD31D8"/>
    <w:rsid w:val="697FAFD4"/>
    <w:rsid w:val="69AA7AA3"/>
    <w:rsid w:val="6ADE316A"/>
    <w:rsid w:val="6BC89760"/>
    <w:rsid w:val="6BFC9A00"/>
    <w:rsid w:val="6CB51C8B"/>
    <w:rsid w:val="6CFF3A39"/>
    <w:rsid w:val="6E8F5943"/>
    <w:rsid w:val="6F374C7B"/>
    <w:rsid w:val="73055EB8"/>
    <w:rsid w:val="737979D2"/>
    <w:rsid w:val="739FEB91"/>
    <w:rsid w:val="73ECD6FD"/>
    <w:rsid w:val="74F97D63"/>
    <w:rsid w:val="74FEDC27"/>
    <w:rsid w:val="75FF149D"/>
    <w:rsid w:val="76167F2F"/>
    <w:rsid w:val="76F7C7DC"/>
    <w:rsid w:val="777F4BF1"/>
    <w:rsid w:val="779BE6C4"/>
    <w:rsid w:val="77BE7B6E"/>
    <w:rsid w:val="77BFF9BF"/>
    <w:rsid w:val="77FBBB0F"/>
    <w:rsid w:val="77FE8F6C"/>
    <w:rsid w:val="78D2B9DF"/>
    <w:rsid w:val="79CB474A"/>
    <w:rsid w:val="79F396A5"/>
    <w:rsid w:val="79F5C402"/>
    <w:rsid w:val="79FFEF4A"/>
    <w:rsid w:val="7BB74462"/>
    <w:rsid w:val="7BBFBB26"/>
    <w:rsid w:val="7BED3EBA"/>
    <w:rsid w:val="7BF34915"/>
    <w:rsid w:val="7C7A604A"/>
    <w:rsid w:val="7CB8C992"/>
    <w:rsid w:val="7CBACDE7"/>
    <w:rsid w:val="7D1850A2"/>
    <w:rsid w:val="7D7FF462"/>
    <w:rsid w:val="7DBE5EEA"/>
    <w:rsid w:val="7DCC7563"/>
    <w:rsid w:val="7DFF0E1B"/>
    <w:rsid w:val="7DFF2C53"/>
    <w:rsid w:val="7E9C7E7D"/>
    <w:rsid w:val="7EDF52C7"/>
    <w:rsid w:val="7EF700F6"/>
    <w:rsid w:val="7EF9C0AA"/>
    <w:rsid w:val="7EFEADA7"/>
    <w:rsid w:val="7F3FABE1"/>
    <w:rsid w:val="7F774852"/>
    <w:rsid w:val="7FB72027"/>
    <w:rsid w:val="7FBF428E"/>
    <w:rsid w:val="7FDFE5DB"/>
    <w:rsid w:val="7FEFDC8E"/>
    <w:rsid w:val="7FF491DD"/>
    <w:rsid w:val="7FF6F0CE"/>
    <w:rsid w:val="7FF79DCA"/>
    <w:rsid w:val="7FF934D4"/>
    <w:rsid w:val="7FFF4E61"/>
    <w:rsid w:val="7FFF75A1"/>
    <w:rsid w:val="7FFFA2AF"/>
    <w:rsid w:val="87FB2EDE"/>
    <w:rsid w:val="93FF8910"/>
    <w:rsid w:val="977B1003"/>
    <w:rsid w:val="9BDF3A48"/>
    <w:rsid w:val="9FD7CFCD"/>
    <w:rsid w:val="A7F97374"/>
    <w:rsid w:val="AB53EC49"/>
    <w:rsid w:val="AC7E1B56"/>
    <w:rsid w:val="AD8C97CD"/>
    <w:rsid w:val="ADCEED87"/>
    <w:rsid w:val="ADFEAEFD"/>
    <w:rsid w:val="AFB58881"/>
    <w:rsid w:val="AFF6BB33"/>
    <w:rsid w:val="AFFF97F8"/>
    <w:rsid w:val="B31F74B4"/>
    <w:rsid w:val="BADED8C5"/>
    <w:rsid w:val="BBFD9B3C"/>
    <w:rsid w:val="BDE57FCE"/>
    <w:rsid w:val="BDEBE0BF"/>
    <w:rsid w:val="BDF21405"/>
    <w:rsid w:val="BFCE4FF7"/>
    <w:rsid w:val="BFEF38B8"/>
    <w:rsid w:val="BFFB55F9"/>
    <w:rsid w:val="BFFC1E2C"/>
    <w:rsid w:val="BFFFCA98"/>
    <w:rsid w:val="CD77C62B"/>
    <w:rsid w:val="D66D5414"/>
    <w:rsid w:val="D79F0C34"/>
    <w:rsid w:val="D7BF88BB"/>
    <w:rsid w:val="D7BFD84E"/>
    <w:rsid w:val="D8DDF93A"/>
    <w:rsid w:val="D9FF6909"/>
    <w:rsid w:val="DBBF675F"/>
    <w:rsid w:val="DF3F9FF9"/>
    <w:rsid w:val="E7FF3D21"/>
    <w:rsid w:val="ED7D0B8B"/>
    <w:rsid w:val="EDF76CBC"/>
    <w:rsid w:val="EF5F5565"/>
    <w:rsid w:val="EFB39239"/>
    <w:rsid w:val="EFDBCB0C"/>
    <w:rsid w:val="EFF684CA"/>
    <w:rsid w:val="EFFF98C5"/>
    <w:rsid w:val="F3B9AC7B"/>
    <w:rsid w:val="F3FB3012"/>
    <w:rsid w:val="F6FF2062"/>
    <w:rsid w:val="F7366B7A"/>
    <w:rsid w:val="F796AEA9"/>
    <w:rsid w:val="F7D74817"/>
    <w:rsid w:val="F7E345D3"/>
    <w:rsid w:val="F7FFBB6A"/>
    <w:rsid w:val="FA5DA317"/>
    <w:rsid w:val="FAFA8350"/>
    <w:rsid w:val="FB2FEAF4"/>
    <w:rsid w:val="FBCF84A4"/>
    <w:rsid w:val="FBDE5CCD"/>
    <w:rsid w:val="FBF77575"/>
    <w:rsid w:val="FD1905CB"/>
    <w:rsid w:val="FD9060F2"/>
    <w:rsid w:val="FDD34110"/>
    <w:rsid w:val="FDFD8366"/>
    <w:rsid w:val="FEED735F"/>
    <w:rsid w:val="FEFD76F1"/>
    <w:rsid w:val="FEFED892"/>
    <w:rsid w:val="FF070751"/>
    <w:rsid w:val="FF4DD766"/>
    <w:rsid w:val="FF5EE95D"/>
    <w:rsid w:val="FF7AE118"/>
    <w:rsid w:val="FFBF2C63"/>
    <w:rsid w:val="FFDF98C8"/>
    <w:rsid w:val="FFF9032B"/>
    <w:rsid w:val="FFFB7722"/>
    <w:rsid w:val="FFFF4D36"/>
    <w:rsid w:val="FFFFF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styleId="9">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0">
    <w:name w:val="页脚 Char"/>
    <w:basedOn w:val="7"/>
    <w:link w:val="2"/>
    <w:semiHidden/>
    <w:uiPriority w:val="99"/>
    <w:rPr>
      <w:rFonts w:ascii="Calibri" w:hAnsi="Calibri" w:eastAsia="宋体" w:cs="Mongolian Baiti"/>
      <w:kern w:val="2"/>
      <w:sz w:val="18"/>
      <w:szCs w:val="22"/>
    </w:rPr>
  </w:style>
  <w:style w:type="character" w:customStyle="1" w:styleId="11">
    <w:name w:val="页眉 Char"/>
    <w:basedOn w:val="7"/>
    <w:link w:val="3"/>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2022-03-09T19:14:01Z</cp:lastPrinted>
  <dcterms:modified xsi:type="dcterms:W3CDTF">2022-03-11T01:22:31Z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