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outlineLvl w:val="0"/>
        <w:rPr>
          <w:rFonts w:hint="eastAsia" w:ascii="方正小标宋简体" w:eastAsia="方正小标宋简体"/>
          <w:sz w:val="44"/>
          <w:szCs w:val="44"/>
        </w:rPr>
      </w:pPr>
      <w:bookmarkStart w:id="2" w:name="_GoBack"/>
      <w:bookmarkEnd w:id="2"/>
      <w:bookmarkStart w:id="0" w:name="印章"/>
      <w:bookmarkEnd w:id="0"/>
      <w:bookmarkStart w:id="1" w:name="标题"/>
      <w:bookmarkEnd w:id="1"/>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outlineLvl w:val="0"/>
        <w:rPr>
          <w:rFonts w:hint="eastAsia" w:ascii="方正小标宋简体" w:eastAsia="方正小标宋简体"/>
          <w:sz w:val="44"/>
          <w:szCs w:val="44"/>
        </w:rPr>
      </w:pPr>
      <w:r>
        <w:rPr>
          <w:rFonts w:hint="eastAsia" w:ascii="方正小标宋简体" w:eastAsia="方正小标宋简体"/>
          <w:sz w:val="44"/>
          <w:szCs w:val="44"/>
        </w:rPr>
        <w:t>内蒙古自治区</w:t>
      </w:r>
      <w:r>
        <w:rPr>
          <w:rFonts w:hint="eastAsia" w:ascii="方正小标宋简体" w:eastAsia="方正小标宋简体"/>
          <w:sz w:val="44"/>
          <w:szCs w:val="44"/>
          <w:lang w:eastAsia="zh-CN"/>
        </w:rPr>
        <w:t>人民政府办公厅</w:t>
      </w:r>
      <w:r>
        <w:rPr>
          <w:rFonts w:hint="eastAsia" w:ascii="方正小标宋简体" w:eastAsia="方正小标宋简体"/>
          <w:sz w:val="44"/>
          <w:szCs w:val="44"/>
        </w:rPr>
        <w:t>关于</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outlineLvl w:val="0"/>
        <w:rPr>
          <w:rFonts w:hint="eastAsia" w:ascii="方正小标宋简体" w:eastAsia="方正小标宋简体"/>
          <w:sz w:val="44"/>
          <w:szCs w:val="44"/>
        </w:rPr>
      </w:pPr>
      <w:r>
        <w:rPr>
          <w:rFonts w:hint="eastAsia" w:ascii="方正小标宋简体" w:eastAsia="方正小标宋简体"/>
          <w:sz w:val="44"/>
          <w:szCs w:val="44"/>
        </w:rPr>
        <w:t>全面加强药品监管能力建设</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工作措施</w:t>
      </w:r>
      <w:r>
        <w:rPr>
          <w:rFonts w:hint="eastAsia" w:ascii="方正小标宋简体" w:eastAsia="方正小标宋简体"/>
          <w:sz w:val="44"/>
          <w:szCs w:val="44"/>
          <w:lang w:eastAsia="zh-CN"/>
        </w:rPr>
        <w:t>的通知</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outlineLvl w:val="0"/>
        <w:rPr>
          <w:rFonts w:hint="eastAsia" w:ascii="方正小标宋简体" w:eastAsia="方正小标宋简体"/>
          <w:sz w:val="44"/>
          <w:szCs w:val="44"/>
          <w:lang w:eastAsia="zh-CN"/>
        </w:rPr>
      </w:pP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outlineLvl w:val="0"/>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内政办发〔2022〕26号</w:t>
      </w:r>
    </w:p>
    <w:p>
      <w:pPr>
        <w:keepNext w:val="0"/>
        <w:keepLines w:val="0"/>
        <w:pageBreakBefore w:val="0"/>
        <w:widowControl w:val="0"/>
        <w:kinsoku/>
        <w:overflowPunct/>
        <w:topLinePunct w:val="0"/>
        <w:autoSpaceDE/>
        <w:autoSpaceDN/>
        <w:bidi w:val="0"/>
        <w:spacing w:line="580" w:lineRule="exact"/>
        <w:textAlignment w:val="auto"/>
        <w:rPr>
          <w:szCs w:val="32"/>
        </w:rPr>
      </w:pP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各盟行政公署、市人民政府，自治区各委、办、厅、局，各大企业、事业单位：</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为贯彻落实《国务院办公厅关于全面加强药品监管能力建设的实施意见》（国办发〔2021〕16号）精神，切实解决我区药品监管体系和监管能力方面存在的短板和不足，更好保护和促进人民群众身体健康，</w:t>
      </w:r>
      <w:r>
        <w:rPr>
          <w:rFonts w:hint="eastAsia" w:ascii="仿宋_GB2312" w:eastAsia="仿宋_GB2312"/>
          <w:sz w:val="32"/>
          <w:szCs w:val="32"/>
          <w:lang w:eastAsia="zh-CN"/>
        </w:rPr>
        <w:t>经</w:t>
      </w:r>
      <w:r>
        <w:rPr>
          <w:rFonts w:hint="eastAsia" w:ascii="仿宋_GB2312" w:eastAsia="仿宋_GB2312"/>
          <w:sz w:val="32"/>
          <w:szCs w:val="32"/>
        </w:rPr>
        <w:t>自治区人民政府同意，现</w:t>
      </w:r>
      <w:r>
        <w:rPr>
          <w:rFonts w:hint="eastAsia" w:ascii="仿宋_GB2312" w:eastAsia="仿宋_GB2312"/>
          <w:sz w:val="32"/>
          <w:szCs w:val="32"/>
          <w:lang w:eastAsia="zh-CN"/>
        </w:rPr>
        <w:t>就</w:t>
      </w:r>
      <w:r>
        <w:rPr>
          <w:rFonts w:hint="eastAsia" w:ascii="仿宋_GB2312" w:eastAsia="仿宋_GB2312"/>
          <w:sz w:val="32"/>
          <w:szCs w:val="32"/>
        </w:rPr>
        <w:t>全面加强药品监管能力建设提出</w:t>
      </w:r>
      <w:r>
        <w:rPr>
          <w:rFonts w:hint="eastAsia" w:ascii="仿宋_GB2312" w:eastAsia="仿宋_GB2312"/>
          <w:sz w:val="32"/>
          <w:szCs w:val="32"/>
          <w:lang w:eastAsia="zh-CN"/>
        </w:rPr>
        <w:t>如</w:t>
      </w:r>
      <w:r>
        <w:rPr>
          <w:rFonts w:hint="eastAsia" w:ascii="仿宋_GB2312" w:eastAsia="仿宋_GB2312"/>
          <w:sz w:val="32"/>
          <w:szCs w:val="32"/>
        </w:rPr>
        <w:t>下工作措施。</w:t>
      </w:r>
    </w:p>
    <w:p>
      <w:pPr>
        <w:pStyle w:val="8"/>
        <w:shd w:val="clear" w:color="auto" w:fill="FFFFFF"/>
        <w:spacing w:before="0" w:beforeAutospacing="0" w:after="0" w:afterAutospacing="0" w:line="580" w:lineRule="exact"/>
        <w:ind w:firstLine="640" w:firstLineChars="200"/>
        <w:jc w:val="both"/>
        <w:outlineLvl w:val="1"/>
        <w:rPr>
          <w:rFonts w:hint="eastAsia" w:ascii="黑体" w:hAnsi="黑体" w:eastAsia="黑体" w:cs="黑体"/>
          <w:sz w:val="32"/>
        </w:rPr>
      </w:pPr>
      <w:r>
        <w:rPr>
          <w:rFonts w:hint="eastAsia" w:ascii="黑体" w:hAnsi="黑体" w:eastAsia="黑体" w:cs="黑体"/>
          <w:sz w:val="32"/>
        </w:rPr>
        <w:t>一、工作目标</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bCs/>
          <w:sz w:val="32"/>
          <w:szCs w:val="32"/>
        </w:rPr>
      </w:pPr>
      <w:r>
        <w:rPr>
          <w:rFonts w:hint="eastAsia" w:ascii="仿宋_GB2312" w:eastAsia="仿宋_GB2312"/>
          <w:bCs/>
          <w:sz w:val="32"/>
          <w:szCs w:val="32"/>
        </w:rPr>
        <w:t>坚持人民至上、生命至上，完整、准确、全面贯彻新发展理念，坚定不移走以生态优先、绿色发展为导向的高质量发展新路子，严格落实“四个最严”要求，统筹药品安全和产业发展，深化审评审批制度改革，持续推进监管创新，加强监管队伍建设，提升支撑保障能力，加快建立健全科学、高效、权威的药品监管体系，着力提升药品监管能力，坚决守住药品安全底线，大力促进医药产业高质量发展，更好满足人民群众对药品安全的需求。</w:t>
      </w:r>
    </w:p>
    <w:p>
      <w:pPr>
        <w:pStyle w:val="8"/>
        <w:shd w:val="clear" w:color="auto" w:fill="FFFFFF"/>
        <w:spacing w:before="0" w:beforeAutospacing="0" w:after="0" w:afterAutospacing="0" w:line="580" w:lineRule="exact"/>
        <w:ind w:firstLine="640" w:firstLineChars="200"/>
        <w:jc w:val="both"/>
        <w:outlineLvl w:val="1"/>
        <w:rPr>
          <w:rFonts w:ascii="仿宋" w:hAnsi="仿宋" w:eastAsia="仿宋" w:cs="Arial"/>
          <w:sz w:val="32"/>
        </w:rPr>
      </w:pPr>
      <w:r>
        <w:rPr>
          <w:rFonts w:hint="eastAsia" w:ascii="黑体" w:hAnsi="黑体" w:eastAsia="黑体" w:cs="黑体"/>
          <w:sz w:val="32"/>
        </w:rPr>
        <w:t>二、重点措施</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bCs/>
          <w:sz w:val="32"/>
          <w:szCs w:val="32"/>
        </w:rPr>
      </w:pPr>
      <w:r>
        <w:rPr>
          <w:rFonts w:hint="eastAsia" w:ascii="楷体_GB2312" w:hAnsi="楷体_GB2312" w:eastAsia="楷体_GB2312" w:cs="楷体_GB2312"/>
          <w:bCs/>
          <w:sz w:val="32"/>
          <w:szCs w:val="32"/>
        </w:rPr>
        <w:t>（一）健全法规制度体系。</w:t>
      </w:r>
      <w:r>
        <w:rPr>
          <w:rFonts w:hint="eastAsia" w:ascii="仿宋_GB2312" w:eastAsia="仿宋_GB2312"/>
          <w:bCs/>
          <w:sz w:val="32"/>
          <w:szCs w:val="32"/>
        </w:rPr>
        <w:t>深入贯彻落实《中华人民共和国药品管理法》《中华人民共和国中医药法》《中华人民共和国疫苗管理法》和《医疗器械监督管理条例》《化妆品监督管理条例》等法律法规，加快推进我区相关法规、规章制修订工作，出台研制创新、生产经营、使用评价各环节配套制度及有关技术指南。完善规范性文件备案、重大决策风险评估、公平竞争审查机制。</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sz w:val="32"/>
          <w:szCs w:val="32"/>
        </w:rPr>
      </w:pPr>
      <w:r>
        <w:rPr>
          <w:rFonts w:hint="eastAsia" w:ascii="楷体_GB2312" w:hAnsi="楷体_GB2312" w:eastAsia="楷体_GB2312" w:cs="楷体_GB2312"/>
          <w:bCs/>
          <w:sz w:val="32"/>
          <w:szCs w:val="32"/>
        </w:rPr>
        <w:t>（二）提升标准管理能力。</w:t>
      </w:r>
      <w:r>
        <w:rPr>
          <w:rFonts w:hint="eastAsia" w:ascii="仿宋_GB2312" w:eastAsia="仿宋_GB2312"/>
          <w:sz w:val="32"/>
          <w:szCs w:val="32"/>
        </w:rPr>
        <w:t>严格药品、医疗器械、化妆品标准执行情况的监督管理。支持科研机构、高</w:t>
      </w:r>
      <w:r>
        <w:rPr>
          <w:rFonts w:hint="eastAsia" w:ascii="仿宋_GB2312" w:eastAsia="仿宋_GB2312"/>
          <w:sz w:val="32"/>
          <w:szCs w:val="32"/>
          <w:lang w:eastAsia="zh-CN"/>
        </w:rPr>
        <w:t>等院校</w:t>
      </w:r>
      <w:r>
        <w:rPr>
          <w:rFonts w:hint="eastAsia" w:ascii="仿宋_GB2312" w:eastAsia="仿宋_GB2312"/>
          <w:sz w:val="32"/>
          <w:szCs w:val="32"/>
        </w:rPr>
        <w:t>、医疗机构、企业、协会参与药品标准制修订，完善地方药品标准体系，3年内自治区地方药品质量标准达到2000项以上。开展医疗器械标准研究，严格监督执行化妆品质量标准和安全技术规范。</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sz w:val="32"/>
          <w:szCs w:val="32"/>
        </w:rPr>
      </w:pPr>
      <w:r>
        <w:rPr>
          <w:rFonts w:hint="eastAsia" w:ascii="楷体_GB2312" w:hAnsi="楷体_GB2312" w:eastAsia="楷体_GB2312" w:cs="楷体_GB2312"/>
          <w:sz w:val="32"/>
          <w:szCs w:val="32"/>
        </w:rPr>
        <w:t>（三）加强风险管控。</w:t>
      </w:r>
      <w:r>
        <w:rPr>
          <w:rFonts w:hint="eastAsia" w:ascii="仿宋_GB2312" w:eastAsia="仿宋_GB2312"/>
          <w:sz w:val="32"/>
          <w:szCs w:val="32"/>
        </w:rPr>
        <w:t>强化全主体、全品种、全链条严格监管，围绕疫苗、特殊药品、网售药品、中药饮片、无菌和植入性医疗器械、儿童及特殊用途化妆品等重点产品持续开展专项整治，对</w:t>
      </w:r>
      <w:r>
        <w:rPr>
          <w:rFonts w:hint="eastAsia" w:ascii="仿宋_GB2312" w:eastAsia="仿宋_GB2312"/>
          <w:sz w:val="32"/>
          <w:szCs w:val="32"/>
          <w:lang w:eastAsia="zh-CN"/>
        </w:rPr>
        <w:t>自治区</w:t>
      </w:r>
      <w:r>
        <w:rPr>
          <w:rFonts w:hint="eastAsia" w:ascii="仿宋_GB2312" w:eastAsia="仿宋_GB2312"/>
          <w:sz w:val="32"/>
          <w:szCs w:val="32"/>
        </w:rPr>
        <w:t>内在产的国家基本药物、集采中选、医用口罩、防护服等品种抽检覆盖率达到100%。整合技术审评、监督抽检、现场检查、不良反应监测、投诉举报、舆情监测、执法稽查等方面的风险信息，形成协调联动机制，逐步实现风险及时监测、准确研判、科学预警和有效处置。</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bCs/>
          <w:sz w:val="32"/>
          <w:szCs w:val="32"/>
        </w:rPr>
      </w:pPr>
      <w:r>
        <w:rPr>
          <w:rFonts w:hint="eastAsia" w:ascii="楷体_GB2312" w:hAnsi="楷体_GB2312" w:eastAsia="楷体_GB2312" w:cs="楷体_GB2312"/>
          <w:bCs/>
          <w:sz w:val="32"/>
          <w:szCs w:val="32"/>
        </w:rPr>
        <w:t>（四）健全检查执法体系。</w:t>
      </w:r>
      <w:r>
        <w:rPr>
          <w:rFonts w:hint="eastAsia" w:ascii="仿宋_GB2312" w:eastAsia="仿宋_GB2312"/>
          <w:bCs/>
          <w:sz w:val="32"/>
          <w:szCs w:val="32"/>
        </w:rPr>
        <w:t>通过加强培训、实战演练、传帮带等多种方式提升自治区职业化专业化药品检查员能力，聘用符合条件的人员作为兼职检查员，明确专兼职检查员职责，落实检查员劳务薪酬待遇。建立自治区药品检查员库，实行统一调派，3年内入库检查员数量达到200名以上。盟市、旗县（市、区）药品监管部门结合实际建立与监管任务相匹配的药品检查员队伍。创新检查方式方法，拓展信息化监管手段利用，常态化开展飞行检查，建立检查结果审核、整改成效评估及后处置机制，严密检查执法闭环体系。</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楷体_GB2312" w:hAnsi="楷体_GB2312" w:eastAsia="楷体_GB2312" w:cs="楷体_GB2312"/>
          <w:bCs/>
          <w:sz w:val="32"/>
          <w:szCs w:val="32"/>
        </w:rPr>
        <w:t>（五）提升稽查办案效能。</w:t>
      </w:r>
      <w:r>
        <w:rPr>
          <w:rFonts w:hint="eastAsia" w:ascii="仿宋_GB2312" w:eastAsia="仿宋_GB2312"/>
          <w:sz w:val="32"/>
          <w:szCs w:val="32"/>
        </w:rPr>
        <w:t>自治区药品监管部门对全区药品稽查工作</w:t>
      </w:r>
      <w:r>
        <w:rPr>
          <w:rFonts w:hint="eastAsia" w:ascii="仿宋_GB2312" w:eastAsia="仿宋_GB2312"/>
          <w:sz w:val="32"/>
          <w:szCs w:val="32"/>
          <w:lang w:eastAsia="zh-CN"/>
        </w:rPr>
        <w:t>进行</w:t>
      </w:r>
      <w:r>
        <w:rPr>
          <w:rFonts w:hint="eastAsia" w:ascii="仿宋_GB2312" w:eastAsia="仿宋_GB2312"/>
          <w:sz w:val="32"/>
          <w:szCs w:val="32"/>
        </w:rPr>
        <w:t>统筹督促指导，对各盟市案件查办情况每季度进行</w:t>
      </w:r>
      <w:r>
        <w:rPr>
          <w:rFonts w:hint="eastAsia" w:ascii="仿宋_GB2312" w:eastAsia="仿宋_GB2312"/>
          <w:spacing w:val="-6"/>
          <w:sz w:val="32"/>
          <w:szCs w:val="32"/>
        </w:rPr>
        <w:t>1次通报。按照国家药监局部署要求，不断强化案件查办工作，切实加大对货值金额50万元以上重大违法案件的查处惩治力度。</w:t>
      </w:r>
      <w:r>
        <w:rPr>
          <w:rFonts w:hint="eastAsia" w:ascii="仿宋_GB2312" w:eastAsia="仿宋_GB2312"/>
          <w:bCs/>
          <w:spacing w:val="-6"/>
          <w:sz w:val="32"/>
          <w:szCs w:val="32"/>
        </w:rPr>
        <w:t>加</w:t>
      </w:r>
      <w:r>
        <w:rPr>
          <w:rFonts w:hint="eastAsia" w:ascii="仿宋_GB2312" w:eastAsia="仿宋_GB2312"/>
          <w:sz w:val="32"/>
          <w:szCs w:val="32"/>
        </w:rPr>
        <w:t>强药品稽查专业队伍建设，</w:t>
      </w:r>
      <w:r>
        <w:rPr>
          <w:rFonts w:hint="eastAsia" w:ascii="仿宋_GB2312" w:eastAsia="仿宋_GB2312"/>
          <w:sz w:val="32"/>
          <w:szCs w:val="32"/>
          <w:lang w:eastAsia="zh-CN"/>
        </w:rPr>
        <w:t>推动</w:t>
      </w:r>
      <w:r>
        <w:rPr>
          <w:rFonts w:hint="eastAsia" w:ascii="仿宋_GB2312" w:eastAsia="仿宋_GB2312"/>
          <w:sz w:val="32"/>
          <w:szCs w:val="32"/>
        </w:rPr>
        <w:t>盟市、旗县（市、区）药品监管部门</w:t>
      </w:r>
      <w:r>
        <w:rPr>
          <w:rFonts w:hint="eastAsia" w:ascii="仿宋_GB2312" w:eastAsia="仿宋_GB2312"/>
          <w:sz w:val="32"/>
          <w:szCs w:val="32"/>
          <w:lang w:eastAsia="zh-CN"/>
        </w:rPr>
        <w:t>和</w:t>
      </w:r>
      <w:r>
        <w:rPr>
          <w:rFonts w:hint="eastAsia" w:ascii="仿宋_GB2312" w:eastAsia="仿宋_GB2312"/>
          <w:sz w:val="32"/>
          <w:szCs w:val="32"/>
        </w:rPr>
        <w:t>苏木乡镇（街道）</w:t>
      </w:r>
      <w:r>
        <w:rPr>
          <w:rFonts w:hint="eastAsia" w:ascii="仿宋_GB2312" w:eastAsia="仿宋_GB2312"/>
          <w:sz w:val="32"/>
          <w:szCs w:val="32"/>
          <w:lang w:eastAsia="zh-CN"/>
        </w:rPr>
        <w:t>市场监管所</w:t>
      </w:r>
      <w:r>
        <w:rPr>
          <w:rFonts w:hint="eastAsia" w:ascii="仿宋_GB2312" w:eastAsia="仿宋_GB2312"/>
          <w:sz w:val="32"/>
          <w:szCs w:val="32"/>
        </w:rPr>
        <w:t>培养稽查办案业务骨干。全面推行行政执法“三项制度”，严格自治区药品、医疗器械、化妆品行政处罚自由裁量权使用。</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rPr>
      </w:pPr>
      <w:r>
        <w:rPr>
          <w:rFonts w:hint="eastAsia" w:ascii="楷体_GB2312" w:hAnsi="楷体_GB2312" w:eastAsia="楷体_GB2312" w:cs="楷体_GB2312"/>
          <w:bCs/>
          <w:sz w:val="32"/>
          <w:szCs w:val="32"/>
        </w:rPr>
        <w:t>（六）</w:t>
      </w:r>
      <w:r>
        <w:rPr>
          <w:rFonts w:hint="eastAsia" w:ascii="楷体_GB2312" w:hAnsi="楷体_GB2312" w:eastAsia="楷体_GB2312" w:cs="楷体_GB2312"/>
          <w:bCs/>
          <w:spacing w:val="-6"/>
          <w:sz w:val="32"/>
          <w:szCs w:val="32"/>
        </w:rPr>
        <w:t>强化部门协同配合。</w:t>
      </w:r>
      <w:r>
        <w:rPr>
          <w:rFonts w:hint="eastAsia" w:ascii="仿宋_GB2312" w:hAnsi="仿宋_GB2312" w:eastAsia="仿宋_GB2312" w:cs="仿宋_GB2312"/>
          <w:spacing w:val="-6"/>
          <w:sz w:val="32"/>
        </w:rPr>
        <w:t>落实监管事权划分和责任规定，强化以药品全生命周期为链条的自治区、盟市、旗县（市、区）三</w:t>
      </w:r>
      <w:r>
        <w:rPr>
          <w:rFonts w:hint="eastAsia" w:ascii="仿宋_GB2312" w:hAnsi="仿宋_GB2312" w:eastAsia="仿宋_GB2312" w:cs="仿宋_GB2312"/>
          <w:sz w:val="32"/>
        </w:rPr>
        <w:t>级协同监管，加强自治区对盟市、</w:t>
      </w:r>
      <w:r>
        <w:rPr>
          <w:rFonts w:hint="eastAsia" w:ascii="仿宋_GB2312" w:hAnsi="仿宋_GB2312" w:eastAsia="仿宋_GB2312" w:cs="仿宋_GB2312"/>
          <w:sz w:val="32"/>
          <w:szCs w:val="32"/>
        </w:rPr>
        <w:t>旗县（市、区）药品监管领域行</w:t>
      </w:r>
      <w:r>
        <w:rPr>
          <w:rFonts w:hint="eastAsia" w:ascii="仿宋_GB2312" w:hAnsi="仿宋_GB2312" w:eastAsia="仿宋_GB2312" w:cs="仿宋_GB2312"/>
          <w:spacing w:val="-6"/>
          <w:sz w:val="32"/>
          <w:szCs w:val="32"/>
        </w:rPr>
        <w:t>政审批、监督检查、检验监测和稽查执法等工作的指导和评估</w:t>
      </w:r>
      <w:r>
        <w:rPr>
          <w:rFonts w:hint="eastAsia" w:ascii="仿宋_GB2312" w:hAnsi="仿宋_GB2312" w:eastAsia="仿宋_GB2312" w:cs="仿宋_GB2312"/>
          <w:spacing w:val="-6"/>
          <w:sz w:val="32"/>
        </w:rPr>
        <w:t>，各</w:t>
      </w:r>
      <w:r>
        <w:rPr>
          <w:rFonts w:hint="eastAsia" w:ascii="仿宋_GB2312" w:hAnsi="仿宋_GB2312" w:eastAsia="仿宋_GB2312" w:cs="仿宋_GB2312"/>
          <w:sz w:val="32"/>
        </w:rPr>
        <w:t>盟市每年至少组织1次跨层级、跨部门风险会商</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各级药品监管部门要与公安机关、检察院、法院等部门建立健全衔接、协同工作机制，及时通报重大案件信息，移送涉嫌药品犯罪案件，做好</w:t>
      </w:r>
      <w:r>
        <w:rPr>
          <w:rFonts w:hint="eastAsia" w:ascii="仿宋_GB2312" w:hAnsi="仿宋_GB2312" w:eastAsia="仿宋_GB2312" w:cs="仿宋_GB2312"/>
          <w:spacing w:val="-6"/>
          <w:sz w:val="32"/>
        </w:rPr>
        <w:t>检验认定、公益诉讼、强制执行等工作，推动联合执法办案常态化。</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楷体_GB2312" w:hAnsi="楷体_GB2312" w:eastAsia="楷体_GB2312" w:cs="楷体_GB2312"/>
          <w:bCs/>
          <w:sz w:val="32"/>
          <w:szCs w:val="32"/>
        </w:rPr>
        <w:t>（七）优化技术审评机制。</w:t>
      </w:r>
      <w:r>
        <w:rPr>
          <w:rFonts w:hint="eastAsia" w:ascii="仿宋_GB2312" w:eastAsia="仿宋_GB2312"/>
          <w:bCs/>
          <w:sz w:val="32"/>
          <w:szCs w:val="32"/>
        </w:rPr>
        <w:t>落实</w:t>
      </w:r>
      <w:r>
        <w:rPr>
          <w:rFonts w:hint="eastAsia" w:ascii="仿宋_GB2312" w:eastAsia="仿宋_GB2312"/>
          <w:sz w:val="32"/>
          <w:szCs w:val="32"/>
        </w:rPr>
        <w:t>创新药品、医疗器械研审联动工作机制，支持新技术应用和新产品研发。建设与监管任务相匹配的审评队伍，2年内自治区审评技术人员数量增加2倍。建立药品、医疗器械、化妆品技术审评专家库和专家咨询委员会，优化沟通交流方式和渠道，搭建技术服务平台，强化对申请人的技术指导和服务。</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bCs/>
          <w:sz w:val="32"/>
        </w:rPr>
      </w:pPr>
      <w:r>
        <w:rPr>
          <w:rFonts w:hint="eastAsia" w:ascii="楷体_GB2312" w:hAnsi="楷体_GB2312" w:eastAsia="楷体_GB2312" w:cs="楷体_GB2312"/>
          <w:bCs/>
          <w:sz w:val="32"/>
          <w:szCs w:val="32"/>
        </w:rPr>
        <w:t>（八）提高检验检测能力。</w:t>
      </w:r>
      <w:r>
        <w:rPr>
          <w:rFonts w:hint="eastAsia" w:ascii="仿宋_GB2312" w:hAnsi="仿宋_GB2312" w:eastAsia="仿宋_GB2312" w:cs="仿宋_GB2312"/>
          <w:bCs/>
          <w:sz w:val="32"/>
        </w:rPr>
        <w:t>自治区加大实验室建设和仪器设备购置等投入力度，加快推进疫苗、生物制品、进口药品、化学原料药有害杂质、中药（蒙药）、体外诊断试剂、大型医疗器械、特殊化妆品、化妆品禁限用物质等检验检测能力建设，</w:t>
      </w:r>
      <w:r>
        <w:rPr>
          <w:rFonts w:hint="eastAsia" w:ascii="仿宋_GB2312" w:hAnsi="仿宋_GB2312" w:eastAsia="仿宋_GB2312" w:cs="仿宋_GB2312"/>
          <w:bCs/>
          <w:sz w:val="32"/>
        </w:rPr>
        <w:t>1年内</w:t>
      </w:r>
      <w:r>
        <w:rPr>
          <w:rFonts w:hint="eastAsia" w:ascii="仿宋_GB2312" w:hAnsi="仿宋_GB2312" w:eastAsia="仿宋_GB2312" w:cs="仿宋_GB2312"/>
          <w:bCs/>
          <w:sz w:val="32"/>
          <w:lang w:eastAsia="zh-CN"/>
        </w:rPr>
        <w:t>全区</w:t>
      </w:r>
      <w:r>
        <w:rPr>
          <w:rFonts w:hint="eastAsia" w:ascii="仿宋_GB2312" w:hAnsi="仿宋_GB2312" w:eastAsia="仿宋_GB2312" w:cs="仿宋_GB2312"/>
          <w:bCs/>
          <w:sz w:val="32"/>
        </w:rPr>
        <w:t>呼吸机、核酸检测试剂等5大类疫情防控用医疗器械检验项目达到600个以上</w:t>
      </w:r>
      <w:r>
        <w:rPr>
          <w:rFonts w:hint="eastAsia" w:ascii="仿宋_GB2312" w:hAnsi="仿宋_GB2312" w:eastAsia="仿宋_GB2312" w:cs="仿宋_GB2312"/>
          <w:bCs/>
          <w:sz w:val="32"/>
          <w:lang w:eastAsia="zh-CN"/>
        </w:rPr>
        <w:t>；</w:t>
      </w:r>
      <w:r>
        <w:rPr>
          <w:rFonts w:hint="eastAsia" w:ascii="仿宋_GB2312" w:hAnsi="仿宋_GB2312" w:eastAsia="仿宋_GB2312" w:cs="仿宋_GB2312"/>
          <w:bCs/>
          <w:sz w:val="32"/>
        </w:rPr>
        <w:t>3年内自治区级药品、医疗器械、化妆品检验检测机构能力建设分别达到国家B+级、C+级、C+级标准要求。</w:t>
      </w:r>
      <w:r>
        <w:rPr>
          <w:rFonts w:hint="eastAsia" w:ascii="仿宋_GB2312" w:hAnsi="仿宋_GB2312" w:eastAsia="仿宋_GB2312" w:cs="仿宋_GB2312"/>
          <w:bCs/>
          <w:sz w:val="32"/>
          <w:szCs w:val="32"/>
        </w:rPr>
        <w:t>盟市加大实验室建设、仪器设备等方面支持力度，推动</w:t>
      </w:r>
      <w:r>
        <w:rPr>
          <w:rFonts w:hint="eastAsia" w:ascii="仿宋_GB2312" w:hAnsi="仿宋_GB2312" w:eastAsia="仿宋_GB2312" w:cs="仿宋_GB2312"/>
          <w:bCs/>
          <w:sz w:val="32"/>
        </w:rPr>
        <w:t>基层检验检测能力建设达到国家C级以上标准。</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区化妆品安全风险物质高通量筛查平台，全区逐步统一配备化妆品快检设备，推进基层化妆品快检技术应用。提升现有国家药监局重点实验室能力装备水平。</w:t>
      </w:r>
      <w:r>
        <w:rPr>
          <w:rFonts w:hint="eastAsia" w:ascii="仿宋_GB2312" w:hAnsi="仿宋_GB2312" w:eastAsia="仿宋_GB2312" w:cs="仿宋_GB2312"/>
          <w:bCs/>
          <w:sz w:val="32"/>
        </w:rPr>
        <w:t>支持自治区</w:t>
      </w:r>
      <w:r>
        <w:rPr>
          <w:rFonts w:hint="eastAsia" w:ascii="仿宋_GB2312" w:hAnsi="仿宋_GB2312" w:eastAsia="仿宋_GB2312" w:cs="仿宋_GB2312"/>
          <w:bCs/>
          <w:sz w:val="32"/>
          <w:lang w:eastAsia="zh-CN"/>
        </w:rPr>
        <w:t>级</w:t>
      </w:r>
      <w:r>
        <w:rPr>
          <w:rFonts w:hint="eastAsia" w:ascii="仿宋_GB2312" w:hAnsi="仿宋_GB2312" w:eastAsia="仿宋_GB2312" w:cs="仿宋_GB2312"/>
          <w:bCs/>
          <w:sz w:val="32"/>
        </w:rPr>
        <w:t>药品检验机构</w:t>
      </w:r>
      <w:r>
        <w:rPr>
          <w:rFonts w:hint="eastAsia" w:ascii="仿宋_GB2312" w:hAnsi="仿宋_GB2312" w:eastAsia="仿宋_GB2312" w:cs="仿宋_GB2312"/>
          <w:bCs/>
          <w:sz w:val="32"/>
          <w:lang w:eastAsia="zh-CN"/>
        </w:rPr>
        <w:t>利用</w:t>
      </w:r>
      <w:r>
        <w:rPr>
          <w:rFonts w:hint="eastAsia" w:ascii="仿宋_GB2312" w:hAnsi="仿宋_GB2312" w:eastAsia="仿宋_GB2312" w:cs="仿宋_GB2312"/>
          <w:bCs/>
          <w:sz w:val="32"/>
        </w:rPr>
        <w:t>3</w:t>
      </w:r>
      <w:r>
        <w:rPr>
          <w:rFonts w:hint="eastAsia" w:ascii="仿宋_GB2312" w:hAnsi="仿宋_GB2312" w:eastAsia="仿宋_GB2312" w:cs="仿宋_GB2312"/>
          <w:bCs/>
          <w:sz w:val="32"/>
          <w:lang w:eastAsia="zh-CN"/>
        </w:rPr>
        <w:t>至</w:t>
      </w:r>
      <w:r>
        <w:rPr>
          <w:rFonts w:hint="eastAsia" w:ascii="仿宋_GB2312" w:hAnsi="仿宋_GB2312" w:eastAsia="仿宋_GB2312" w:cs="仿宋_GB2312"/>
          <w:bCs/>
          <w:sz w:val="32"/>
        </w:rPr>
        <w:t>5年时间达到国家药监局重点实验室条件要求并完成申报。推动盟市级检验检测机构创建自治区级重点实验室。</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sz w:val="32"/>
          <w:szCs w:val="32"/>
        </w:rPr>
      </w:pPr>
      <w:r>
        <w:rPr>
          <w:rFonts w:hint="eastAsia" w:ascii="楷体_GB2312" w:hAnsi="楷体_GB2312" w:eastAsia="楷体_GB2312" w:cs="楷体_GB2312"/>
          <w:bCs/>
          <w:sz w:val="32"/>
          <w:szCs w:val="32"/>
        </w:rPr>
        <w:t>（九）健全药物警戒体系。</w:t>
      </w:r>
      <w:r>
        <w:rPr>
          <w:rFonts w:hint="eastAsia" w:ascii="仿宋_GB2312" w:eastAsia="仿宋_GB2312"/>
          <w:sz w:val="32"/>
          <w:szCs w:val="32"/>
        </w:rPr>
        <w:t>各盟市</w:t>
      </w:r>
      <w:r>
        <w:rPr>
          <w:rFonts w:hint="eastAsia" w:ascii="仿宋_GB2312" w:eastAsia="仿宋_GB2312"/>
          <w:sz w:val="32"/>
          <w:szCs w:val="32"/>
          <w:lang w:eastAsia="zh-CN"/>
        </w:rPr>
        <w:t>要</w:t>
      </w:r>
      <w:r>
        <w:rPr>
          <w:rFonts w:hint="eastAsia" w:ascii="仿宋_GB2312" w:eastAsia="仿宋_GB2312"/>
          <w:sz w:val="32"/>
          <w:szCs w:val="32"/>
        </w:rPr>
        <w:t>健全药品不良反应监测机构，实现纵向信息共享联动。开展监测评价方法学、上市后评价（再评价）研究，提高信息收集、风险识别、综合分析评价能力。落实药物警戒制度，开展药物警戒质量管理规范检查，夯实上市许可持有人药物警戒主体责任。继续推进药品、医疗器械、化妆品监测哨点和基地建设</w:t>
      </w:r>
      <w:r>
        <w:rPr>
          <w:rFonts w:hint="eastAsia" w:ascii="仿宋_GB2312" w:eastAsia="仿宋_GB2312"/>
          <w:sz w:val="32"/>
          <w:szCs w:val="32"/>
          <w:lang w:eastAsia="zh-CN"/>
        </w:rPr>
        <w:t>，</w:t>
      </w:r>
      <w:r>
        <w:rPr>
          <w:rFonts w:hint="eastAsia" w:ascii="仿宋_GB2312" w:eastAsia="仿宋_GB2312"/>
          <w:sz w:val="32"/>
          <w:szCs w:val="32"/>
          <w:u w:val="none"/>
        </w:rPr>
        <w:t>每年每百万人口不良反应（事件）监测报告数</w:t>
      </w:r>
      <w:r>
        <w:rPr>
          <w:rFonts w:hint="eastAsia" w:ascii="仿宋_GB2312" w:eastAsia="仿宋_GB2312"/>
          <w:sz w:val="32"/>
          <w:szCs w:val="32"/>
          <w:u w:val="none"/>
          <w:lang w:eastAsia="zh-CN"/>
        </w:rPr>
        <w:t>达到</w:t>
      </w:r>
      <w:r>
        <w:rPr>
          <w:rFonts w:hint="eastAsia" w:ascii="仿宋_GB2312" w:eastAsia="仿宋_GB2312"/>
          <w:sz w:val="32"/>
          <w:szCs w:val="32"/>
          <w:u w:val="none"/>
          <w:lang w:val="en-US" w:eastAsia="zh-CN"/>
        </w:rPr>
        <w:t>1000</w:t>
      </w:r>
      <w:r>
        <w:rPr>
          <w:rFonts w:hint="eastAsia" w:ascii="仿宋_GB2312" w:eastAsia="仿宋_GB2312"/>
          <w:sz w:val="32"/>
          <w:szCs w:val="32"/>
          <w:u w:val="none"/>
        </w:rPr>
        <w:t>份</w:t>
      </w:r>
      <w:r>
        <w:rPr>
          <w:rFonts w:hint="eastAsia" w:ascii="仿宋_GB2312" w:eastAsia="仿宋_GB2312"/>
          <w:sz w:val="32"/>
          <w:szCs w:val="32"/>
          <w:u w:val="none"/>
          <w:lang w:eastAsia="zh-CN"/>
        </w:rPr>
        <w:t>以上</w:t>
      </w:r>
      <w:r>
        <w:rPr>
          <w:rFonts w:hint="eastAsia" w:ascii="仿宋_GB2312" w:eastAsia="仿宋_GB2312"/>
          <w:sz w:val="32"/>
          <w:szCs w:val="32"/>
          <w:lang w:eastAsia="zh-CN"/>
        </w:rPr>
        <w:t>。</w:t>
      </w:r>
      <w:r>
        <w:rPr>
          <w:rFonts w:hint="eastAsia" w:ascii="仿宋_GB2312" w:eastAsia="仿宋_GB2312"/>
          <w:sz w:val="32"/>
          <w:szCs w:val="32"/>
        </w:rPr>
        <w:t>强化疫苗疑似预防接种异常反应监测系统数据联动应用。</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sz w:val="32"/>
          <w:szCs w:val="32"/>
        </w:rPr>
      </w:pPr>
      <w:r>
        <w:rPr>
          <w:rFonts w:hint="eastAsia" w:ascii="楷体_GB2312" w:hAnsi="楷体_GB2312" w:eastAsia="楷体_GB2312" w:cs="楷体_GB2312"/>
          <w:sz w:val="32"/>
          <w:szCs w:val="32"/>
        </w:rPr>
        <w:t>（十）完善应急管理体系。</w:t>
      </w:r>
      <w:r>
        <w:rPr>
          <w:rFonts w:hint="eastAsia" w:ascii="仿宋_GB2312" w:eastAsia="仿宋_GB2312"/>
          <w:sz w:val="32"/>
          <w:szCs w:val="32"/>
        </w:rPr>
        <w:t>各</w:t>
      </w:r>
      <w:r>
        <w:rPr>
          <w:rFonts w:hint="eastAsia" w:ascii="仿宋_GB2312" w:eastAsia="仿宋_GB2312"/>
          <w:sz w:val="32"/>
          <w:szCs w:val="32"/>
          <w:lang w:eastAsia="zh-CN"/>
        </w:rPr>
        <w:t>地区</w:t>
      </w:r>
      <w:r>
        <w:rPr>
          <w:rFonts w:hint="eastAsia" w:ascii="仿宋_GB2312" w:eastAsia="仿宋_GB2312"/>
          <w:sz w:val="32"/>
          <w:szCs w:val="32"/>
        </w:rPr>
        <w:t>要强化落实属地责任，建立完善疫苗药品安全突发事件应急预案，健全应急管理机制，强化应急能力培训，每3年组织不少于1次的相应级别药品安全突发事件应急演练。健全完善重特大公共卫生事件中药品、医疗器械检验检测、体系核查、审评审批、监测评价、紧急使用等工作机制并加强统一指挥与协调，提高各</w:t>
      </w:r>
      <w:r>
        <w:rPr>
          <w:rFonts w:hint="eastAsia" w:ascii="仿宋_GB2312" w:eastAsia="仿宋_GB2312"/>
          <w:sz w:val="32"/>
          <w:szCs w:val="32"/>
          <w:lang w:eastAsia="zh-CN"/>
        </w:rPr>
        <w:t>地区、</w:t>
      </w:r>
      <w:r>
        <w:rPr>
          <w:rFonts w:hint="eastAsia" w:ascii="仿宋_GB2312" w:eastAsia="仿宋_GB2312"/>
          <w:sz w:val="32"/>
          <w:szCs w:val="32"/>
        </w:rPr>
        <w:t>各</w:t>
      </w:r>
      <w:r>
        <w:rPr>
          <w:rFonts w:hint="eastAsia" w:ascii="仿宋_GB2312" w:eastAsia="仿宋_GB2312"/>
          <w:sz w:val="32"/>
          <w:szCs w:val="32"/>
          <w:lang w:eastAsia="zh-CN"/>
        </w:rPr>
        <w:t>有关</w:t>
      </w:r>
      <w:r>
        <w:rPr>
          <w:rFonts w:hint="eastAsia" w:ascii="仿宋_GB2312" w:eastAsia="仿宋_GB2312"/>
          <w:sz w:val="32"/>
          <w:szCs w:val="32"/>
        </w:rPr>
        <w:t>部门的应急处置能力。</w:t>
      </w:r>
    </w:p>
    <w:p>
      <w:pPr>
        <w:pStyle w:val="8"/>
        <w:shd w:val="clear" w:color="auto" w:fill="FFFFFF"/>
        <w:spacing w:before="0" w:beforeAutospacing="0" w:after="0" w:afterAutospacing="0" w:line="580" w:lineRule="exact"/>
        <w:ind w:firstLine="640" w:firstLineChars="200"/>
        <w:jc w:val="both"/>
        <w:rPr>
          <w:rFonts w:hint="eastAsia" w:ascii="仿宋_GB2312" w:eastAsia="仿宋_GB2312"/>
          <w:sz w:val="32"/>
          <w:szCs w:val="32"/>
        </w:rPr>
      </w:pPr>
      <w:r>
        <w:rPr>
          <w:rFonts w:hint="eastAsia" w:ascii="楷体_GB2312" w:hAnsi="楷体_GB2312" w:eastAsia="楷体_GB2312" w:cs="楷体_GB2312"/>
          <w:bCs/>
          <w:sz w:val="32"/>
          <w:szCs w:val="32"/>
        </w:rPr>
        <w:t>（十一）推进信息化追溯体系建设。</w:t>
      </w:r>
      <w:r>
        <w:rPr>
          <w:rFonts w:hint="eastAsia" w:ascii="仿宋_GB2312" w:eastAsia="仿宋_GB2312"/>
          <w:sz w:val="32"/>
          <w:szCs w:val="32"/>
        </w:rPr>
        <w:t>利用自治区政务信息网络、云平台等资源，集约化建设药品追溯管理平台，</w:t>
      </w:r>
      <w:r>
        <w:rPr>
          <w:rFonts w:ascii="仿宋_GB2312" w:eastAsia="仿宋_GB2312"/>
          <w:sz w:val="32"/>
          <w:szCs w:val="32"/>
        </w:rPr>
        <w:t>推动企业落实信息化追溯主体责任</w:t>
      </w:r>
      <w:r>
        <w:rPr>
          <w:rFonts w:hint="eastAsia" w:ascii="仿宋_GB2312" w:eastAsia="仿宋_GB2312"/>
          <w:sz w:val="32"/>
          <w:szCs w:val="32"/>
        </w:rPr>
        <w:t>，3年内全区药品上市许可持有人、药品生产经营企业、医疗机构纳入信息化追溯体系比例达到90%以上，采集生产、经营、使用各环节相关数据，形成互联互通的药品追溯数据链，逐步实现药品来源可查、去向可追。推动医疗器械唯一标识（</w:t>
      </w:r>
      <w:r>
        <w:rPr>
          <w:rFonts w:ascii="仿宋_GB2312" w:eastAsia="仿宋_GB2312"/>
          <w:sz w:val="32"/>
          <w:szCs w:val="32"/>
        </w:rPr>
        <w:t>UDI)实施工作。发挥追溯数据在日常监管、风险防控、产品召回、应急处置等监管工作中的作用。</w:t>
      </w:r>
    </w:p>
    <w:p>
      <w:pPr>
        <w:spacing w:line="580" w:lineRule="exact"/>
        <w:ind w:firstLine="660"/>
        <w:jc w:val="both"/>
        <w:rPr>
          <w:rFonts w:ascii="仿宋_GB2312" w:eastAsia="仿宋_GB2312"/>
          <w:sz w:val="32"/>
          <w:szCs w:val="32"/>
        </w:rPr>
      </w:pPr>
      <w:r>
        <w:rPr>
          <w:rFonts w:hint="eastAsia" w:ascii="楷体_GB2312" w:hAnsi="楷体_GB2312" w:eastAsia="楷体_GB2312" w:cs="楷体_GB2312"/>
          <w:bCs/>
          <w:sz w:val="32"/>
          <w:szCs w:val="32"/>
        </w:rPr>
        <w:t>（十二）推进全生命周期数字化管理。</w:t>
      </w:r>
      <w:r>
        <w:rPr>
          <w:rFonts w:hint="eastAsia" w:ascii="仿宋_GB2312" w:eastAsia="仿宋_GB2312"/>
          <w:sz w:val="32"/>
          <w:szCs w:val="32"/>
        </w:rPr>
        <w:t>建设药品全生命周期数字档案管理平台，实施数字档案“双百”工程，实现药品、医疗器械、化妆品生产企业建档率100%、生产品种覆盖率100%，构建以药品安全基础信用档案、企业主体责任信用档案为主要内容的药品安全信用档案体系。研究探索基于大数据的关键共性技术与应用，推进监管和产业数字化升级。</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sz w:val="32"/>
          <w:szCs w:val="32"/>
        </w:rPr>
      </w:pPr>
      <w:r>
        <w:rPr>
          <w:rFonts w:hint="eastAsia" w:ascii="楷体_GB2312" w:hAnsi="楷体_GB2312" w:eastAsia="楷体_GB2312" w:cs="楷体_GB2312"/>
          <w:bCs/>
          <w:sz w:val="32"/>
          <w:szCs w:val="32"/>
        </w:rPr>
        <w:t>（十三）提升“互联网+药品监管”应用服务水平。</w:t>
      </w:r>
      <w:r>
        <w:rPr>
          <w:rFonts w:hint="eastAsia" w:ascii="仿宋_GB2312" w:eastAsia="仿宋_GB2312"/>
          <w:sz w:val="32"/>
          <w:szCs w:val="32"/>
        </w:rPr>
        <w:t>充分利用信息化手段推动监管模式和服务方式变革，推广“</w:t>
      </w:r>
      <w:r>
        <w:rPr>
          <w:rFonts w:ascii="仿宋_GB2312" w:eastAsia="仿宋_GB2312"/>
          <w:sz w:val="32"/>
          <w:szCs w:val="32"/>
        </w:rPr>
        <w:t>互联网+</w:t>
      </w:r>
      <w:r>
        <w:rPr>
          <w:rFonts w:hint="eastAsia" w:ascii="仿宋_GB2312" w:eastAsia="仿宋_GB2312"/>
          <w:sz w:val="32"/>
          <w:szCs w:val="32"/>
        </w:rPr>
        <w:t>”</w:t>
      </w:r>
      <w:r>
        <w:rPr>
          <w:rFonts w:ascii="仿宋_GB2312" w:eastAsia="仿宋_GB2312"/>
          <w:sz w:val="32"/>
          <w:szCs w:val="32"/>
        </w:rPr>
        <w:t>移动互联应用，</w:t>
      </w:r>
      <w:r>
        <w:rPr>
          <w:rFonts w:hint="eastAsia" w:ascii="仿宋_GB2312" w:eastAsia="仿宋_GB2312"/>
          <w:sz w:val="32"/>
          <w:szCs w:val="32"/>
        </w:rPr>
        <w:t>推动内蒙古药品智慧监管平台融入自治区数字政府建设和“一网通办”“一网统管”总体框架，逐步实现全区药品监管领域</w:t>
      </w:r>
      <w:r>
        <w:rPr>
          <w:rFonts w:ascii="仿宋_GB2312" w:eastAsia="仿宋_GB2312"/>
          <w:sz w:val="32"/>
          <w:szCs w:val="32"/>
        </w:rPr>
        <w:t>政务服务</w:t>
      </w:r>
      <w:r>
        <w:rPr>
          <w:rFonts w:hint="eastAsia" w:ascii="仿宋_GB2312" w:eastAsia="仿宋_GB2312"/>
          <w:sz w:val="32"/>
          <w:szCs w:val="32"/>
        </w:rPr>
        <w:t>全程网办率100%。</w:t>
      </w:r>
      <w:r>
        <w:rPr>
          <w:rFonts w:ascii="仿宋_GB2312" w:eastAsia="仿宋_GB2312"/>
          <w:sz w:val="32"/>
          <w:szCs w:val="32"/>
        </w:rPr>
        <w:t>推进监管业务系统互联互通</w:t>
      </w:r>
      <w:r>
        <w:rPr>
          <w:rFonts w:hint="eastAsia" w:ascii="仿宋_GB2312" w:eastAsia="仿宋_GB2312"/>
          <w:sz w:val="32"/>
          <w:szCs w:val="32"/>
        </w:rPr>
        <w:t>和信息</w:t>
      </w:r>
      <w:r>
        <w:rPr>
          <w:rFonts w:ascii="仿宋_GB2312" w:eastAsia="仿宋_GB2312"/>
          <w:sz w:val="32"/>
          <w:szCs w:val="32"/>
        </w:rPr>
        <w:t>共享共用，推动跨业务</w:t>
      </w:r>
      <w:r>
        <w:rPr>
          <w:rFonts w:hint="eastAsia" w:ascii="仿宋_GB2312" w:eastAsia="仿宋_GB2312"/>
          <w:sz w:val="32"/>
          <w:szCs w:val="32"/>
        </w:rPr>
        <w:t>、</w:t>
      </w:r>
      <w:r>
        <w:rPr>
          <w:rFonts w:ascii="仿宋_GB2312" w:eastAsia="仿宋_GB2312"/>
          <w:sz w:val="32"/>
          <w:szCs w:val="32"/>
        </w:rPr>
        <w:t>跨部门</w:t>
      </w:r>
      <w:r>
        <w:rPr>
          <w:rFonts w:hint="eastAsia" w:ascii="仿宋_GB2312" w:eastAsia="仿宋_GB2312"/>
          <w:sz w:val="32"/>
          <w:szCs w:val="32"/>
        </w:rPr>
        <w:t>智慧化</w:t>
      </w:r>
      <w:r>
        <w:rPr>
          <w:rFonts w:ascii="仿宋_GB2312" w:eastAsia="仿宋_GB2312"/>
          <w:sz w:val="32"/>
          <w:szCs w:val="32"/>
        </w:rPr>
        <w:t>协同</w:t>
      </w:r>
      <w:r>
        <w:rPr>
          <w:rFonts w:hint="eastAsia" w:ascii="仿宋_GB2312" w:eastAsia="仿宋_GB2312"/>
          <w:sz w:val="32"/>
          <w:szCs w:val="32"/>
        </w:rPr>
        <w:t>治理</w:t>
      </w:r>
      <w:r>
        <w:rPr>
          <w:rFonts w:ascii="仿宋_GB2312" w:eastAsia="仿宋_GB2312"/>
          <w:sz w:val="32"/>
          <w:szCs w:val="32"/>
        </w:rPr>
        <w:t>。建设</w:t>
      </w:r>
      <w:r>
        <w:rPr>
          <w:rFonts w:hint="eastAsia" w:ascii="仿宋_GB2312" w:eastAsia="仿宋_GB2312"/>
          <w:sz w:val="32"/>
          <w:szCs w:val="32"/>
        </w:rPr>
        <w:t>内蒙古药品疫情防控</w:t>
      </w:r>
      <w:r>
        <w:rPr>
          <w:rFonts w:ascii="仿宋_GB2312" w:eastAsia="仿宋_GB2312"/>
          <w:sz w:val="32"/>
          <w:szCs w:val="32"/>
        </w:rPr>
        <w:t>网络监测平台</w:t>
      </w:r>
      <w:r>
        <w:rPr>
          <w:rFonts w:hint="eastAsia" w:ascii="仿宋_GB2312" w:eastAsia="仿宋_GB2312"/>
          <w:sz w:val="32"/>
          <w:szCs w:val="32"/>
        </w:rPr>
        <w:t>，开展公共卫生突发事件</w:t>
      </w:r>
      <w:r>
        <w:rPr>
          <w:rFonts w:ascii="仿宋_GB2312" w:eastAsia="仿宋_GB2312"/>
          <w:sz w:val="32"/>
          <w:szCs w:val="32"/>
        </w:rPr>
        <w:t>多点触发预警监测</w:t>
      </w:r>
      <w:r>
        <w:rPr>
          <w:rFonts w:hint="eastAsia" w:ascii="仿宋_GB2312" w:eastAsia="仿宋_GB2312"/>
          <w:sz w:val="32"/>
          <w:szCs w:val="32"/>
        </w:rPr>
        <w:t>。</w:t>
      </w:r>
      <w:r>
        <w:rPr>
          <w:rFonts w:ascii="仿宋_GB2312" w:eastAsia="仿宋_GB2312"/>
          <w:sz w:val="32"/>
          <w:szCs w:val="32"/>
        </w:rPr>
        <w:t>加强网络销售行为监督检查，提高对药品、医疗器械</w:t>
      </w:r>
      <w:r>
        <w:rPr>
          <w:rFonts w:hint="eastAsia" w:ascii="仿宋_GB2312" w:eastAsia="仿宋_GB2312"/>
          <w:sz w:val="32"/>
          <w:szCs w:val="32"/>
        </w:rPr>
        <w:t>、</w:t>
      </w:r>
      <w:r>
        <w:rPr>
          <w:rFonts w:ascii="仿宋_GB2312" w:eastAsia="仿宋_GB2312"/>
          <w:sz w:val="32"/>
          <w:szCs w:val="32"/>
        </w:rPr>
        <w:t>化妆品的</w:t>
      </w:r>
      <w:r>
        <w:rPr>
          <w:rFonts w:hint="eastAsia" w:ascii="仿宋_GB2312" w:eastAsia="仿宋_GB2312"/>
          <w:sz w:val="32"/>
          <w:szCs w:val="32"/>
        </w:rPr>
        <w:t>线上线下管理</w:t>
      </w:r>
      <w:r>
        <w:rPr>
          <w:rFonts w:ascii="仿宋_GB2312" w:eastAsia="仿宋_GB2312"/>
          <w:sz w:val="32"/>
          <w:szCs w:val="32"/>
        </w:rPr>
        <w:t>能力。</w:t>
      </w:r>
    </w:p>
    <w:p>
      <w:pPr>
        <w:pStyle w:val="8"/>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rPr>
      </w:pPr>
      <w:r>
        <w:rPr>
          <w:rFonts w:hint="eastAsia" w:ascii="楷体_GB2312" w:hAnsi="楷体_GB2312" w:eastAsia="楷体_GB2312" w:cs="楷体_GB2312"/>
          <w:bCs/>
          <w:sz w:val="32"/>
          <w:szCs w:val="32"/>
        </w:rPr>
        <w:t>（十四）提升监管队伍素质。</w:t>
      </w:r>
      <w:r>
        <w:rPr>
          <w:rFonts w:hint="eastAsia" w:ascii="仿宋_GB2312" w:hAnsi="仿宋_GB2312" w:eastAsia="仿宋_GB2312" w:cs="仿宋_GB2312"/>
          <w:sz w:val="32"/>
        </w:rPr>
        <w:t>实施监管队伍素质和专业人才能力提升工程，优化年龄、专业结构，3年内自治区技术机构专业人员比率达到75%以上。重点加强审评、检查、检验、监测评价等专业化人才队伍建设，设立首席审评员、检查员岗位，实行审评员、检查员分级制度，有计划重点培养高层次审评员、检查员，监管人员专业化培训每年不低于40学时，实现核心监管人才数量、质量“双提升”。</w:t>
      </w:r>
    </w:p>
    <w:p>
      <w:pPr>
        <w:pStyle w:val="8"/>
        <w:shd w:val="clear" w:color="auto" w:fill="FFFFFF"/>
        <w:spacing w:before="0" w:beforeAutospacing="0" w:after="0" w:afterAutospacing="0" w:line="580" w:lineRule="exact"/>
        <w:ind w:firstLine="640" w:firstLineChars="200"/>
        <w:jc w:val="both"/>
        <w:rPr>
          <w:rFonts w:hint="eastAsia" w:ascii="仿宋_GB2312" w:hAnsi="仿宋_GB2312" w:eastAsia="仿宋_GB2312" w:cs="仿宋_GB2312"/>
          <w:sz w:val="32"/>
        </w:rPr>
      </w:pPr>
      <w:r>
        <w:rPr>
          <w:rFonts w:hint="eastAsia" w:ascii="楷体_GB2312" w:hAnsi="楷体_GB2312" w:eastAsia="楷体_GB2312" w:cs="楷体_GB2312"/>
          <w:bCs/>
          <w:sz w:val="32"/>
          <w:szCs w:val="32"/>
        </w:rPr>
        <w:t>（十五）夯实基层药品监管基础。</w:t>
      </w:r>
      <w:r>
        <w:rPr>
          <w:rFonts w:hint="eastAsia" w:ascii="仿宋_GB2312" w:hAnsi="仿宋_GB2312" w:eastAsia="仿宋_GB2312" w:cs="仿宋_GB2312"/>
          <w:sz w:val="32"/>
          <w:lang w:eastAsia="zh-CN"/>
        </w:rPr>
        <w:t>认真</w:t>
      </w:r>
      <w:r>
        <w:rPr>
          <w:rFonts w:hint="eastAsia" w:ascii="仿宋_GB2312" w:hAnsi="仿宋_GB2312" w:eastAsia="仿宋_GB2312" w:cs="仿宋_GB2312"/>
          <w:sz w:val="32"/>
        </w:rPr>
        <w:t>贯彻落实国家药监局《关于推进市县药品监管能力标准化建设的通知》要求，</w:t>
      </w:r>
      <w:r>
        <w:rPr>
          <w:rFonts w:hint="eastAsia" w:ascii="仿宋_GB2312" w:hAnsi="仿宋_GB2312" w:eastAsia="仿宋_GB2312" w:cs="仿宋_GB2312"/>
          <w:sz w:val="32"/>
          <w:lang w:eastAsia="zh-CN"/>
        </w:rPr>
        <w:t>各地区要</w:t>
      </w:r>
      <w:r>
        <w:rPr>
          <w:rFonts w:hint="eastAsia" w:ascii="仿宋_GB2312" w:hAnsi="仿宋_GB2312" w:eastAsia="仿宋_GB2312" w:cs="仿宋_GB2312"/>
          <w:sz w:val="32"/>
        </w:rPr>
        <w:t>加强基层药品执法检查基本装备配备、药品检验检测</w:t>
      </w:r>
      <w:r>
        <w:rPr>
          <w:rFonts w:hint="eastAsia" w:ascii="仿宋_GB2312" w:hAnsi="仿宋_GB2312" w:eastAsia="仿宋_GB2312" w:cs="仿宋_GB2312"/>
          <w:sz w:val="32"/>
          <w:lang w:eastAsia="zh-CN"/>
        </w:rPr>
        <w:t>能力</w:t>
      </w:r>
      <w:r>
        <w:rPr>
          <w:rFonts w:hint="eastAsia" w:ascii="仿宋_GB2312" w:hAnsi="仿宋_GB2312" w:eastAsia="仿宋_GB2312" w:cs="仿宋_GB2312"/>
          <w:sz w:val="32"/>
        </w:rPr>
        <w:t>建设，盟市、旗县（市、区）药品监管部门和苏木乡镇（街道）市场监管所具备药品监管执法骨干人员并满足与监管事权相匹配的经费、装备等资源和条件。盟市、旗县（市、区）药品监管部门统筹本辖区药品、医疗器械、化妆品监管，每年分别组织开展至少1次交叉互检、执法监督、案卷评查和典型案例分析，突出药品监管专业性和实效性。</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sz w:val="32"/>
          <w:szCs w:val="32"/>
        </w:rPr>
      </w:pPr>
      <w:r>
        <w:rPr>
          <w:rFonts w:hint="eastAsia" w:ascii="楷体_GB2312" w:hAnsi="楷体_GB2312" w:eastAsia="楷体_GB2312" w:cs="楷体_GB2312"/>
          <w:bCs/>
          <w:sz w:val="32"/>
          <w:szCs w:val="32"/>
        </w:rPr>
        <w:t>（十六）实施药品监管科学行动计划。</w:t>
      </w:r>
      <w:r>
        <w:rPr>
          <w:rFonts w:hint="eastAsia" w:ascii="仿宋_GB2312" w:eastAsia="仿宋_GB2312"/>
          <w:sz w:val="32"/>
          <w:szCs w:val="32"/>
        </w:rPr>
        <w:t>依托高等院校、科研机构等建立2-3个药品监管科学研究基地，鼓励审评、检查、检验技术支撑机构积极参与相关科研项目技术攻关。加快推进监管新工具、新标准、新方法研究和应用，重点支持中药（蒙药）、生物制药、人工智能医疗器械、医疗器械新材料、化妆品新原料等领域的监管科学研究，为监管和技术支撑提供动力，加快推动新产品研发上市。</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bCs/>
          <w:sz w:val="32"/>
          <w:szCs w:val="32"/>
        </w:rPr>
      </w:pPr>
      <w:r>
        <w:rPr>
          <w:rFonts w:hint="eastAsia" w:ascii="楷体_GB2312" w:hAnsi="楷体_GB2312" w:eastAsia="楷体_GB2312" w:cs="楷体_GB2312"/>
          <w:bCs/>
          <w:sz w:val="32"/>
          <w:szCs w:val="32"/>
        </w:rPr>
        <w:t>（十七）持续优化营商环境。</w:t>
      </w:r>
      <w:r>
        <w:rPr>
          <w:rFonts w:hint="eastAsia" w:ascii="仿宋_GB2312" w:eastAsia="仿宋_GB2312"/>
          <w:bCs/>
          <w:sz w:val="32"/>
          <w:szCs w:val="32"/>
        </w:rPr>
        <w:t>实施药品监管领域行政审批事项集中办理，合理设定审批时限，推行“一窗服务”“告知承诺制审批”，</w:t>
      </w:r>
      <w:r>
        <w:rPr>
          <w:rFonts w:hint="eastAsia" w:ascii="仿宋_GB2312" w:hAnsi="宋体" w:eastAsia="仿宋_GB2312" w:cs="宋体"/>
          <w:kern w:val="0"/>
          <w:sz w:val="32"/>
          <w:szCs w:val="32"/>
          <w:u w:val="none"/>
          <w:lang w:val="en-US" w:eastAsia="zh-CN" w:bidi="ar-SA"/>
        </w:rPr>
        <w:t>督促取消药品零售企业筹建审批，依法清理对开办药店设定的间距限制等不合理条件</w:t>
      </w:r>
      <w:r>
        <w:rPr>
          <w:rFonts w:hint="eastAsia" w:ascii="仿宋_GB2312" w:eastAsia="仿宋_GB2312"/>
          <w:bCs/>
          <w:sz w:val="32"/>
          <w:szCs w:val="32"/>
        </w:rPr>
        <w:t>。优化审批流程，开通区外医疗器械产品向区内转移绿色通道。规范各级药品监管执法行为，落实执法人员普法宣传、违法行为解读和矛盾隐患防范责任，依法保障企业合法权益，打造公平公正的竞争环境。</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bCs/>
          <w:sz w:val="32"/>
          <w:szCs w:val="32"/>
        </w:rPr>
      </w:pPr>
      <w:r>
        <w:rPr>
          <w:rFonts w:hint="eastAsia" w:ascii="楷体_GB2312" w:hAnsi="楷体_GB2312" w:eastAsia="楷体_GB2312" w:cs="楷体_GB2312"/>
          <w:bCs/>
          <w:sz w:val="32"/>
          <w:szCs w:val="32"/>
        </w:rPr>
        <w:t>（十八）提升服务高质量发展能力。</w:t>
      </w:r>
      <w:r>
        <w:rPr>
          <w:rFonts w:hint="eastAsia" w:ascii="仿宋_GB2312" w:eastAsia="仿宋_GB2312"/>
          <w:bCs/>
          <w:sz w:val="32"/>
          <w:szCs w:val="32"/>
        </w:rPr>
        <w:t>围绕药品全生命周期质量提升和产业链健全完善，充分发挥经济、行业主管、财税金融、科技和人才以及综合监管等多部门集成功效，加强要素整合，推动品种技术集聚，强化区域配套能力，服务构建多梯次医药产业集群。强化创新能力建设，以骨干企业为依托，产学研用结合，实施创新药品、医疗器械获批注册奖励机制，着力增品种、提品质、创品牌、重推广、拓市场，服务医药经济高质量发展。</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bCs/>
          <w:sz w:val="32"/>
          <w:szCs w:val="32"/>
        </w:rPr>
      </w:pPr>
      <w:r>
        <w:rPr>
          <w:rFonts w:hint="eastAsia" w:ascii="楷体_GB2312" w:hAnsi="楷体_GB2312" w:eastAsia="楷体_GB2312" w:cs="楷体_GB2312"/>
          <w:bCs/>
          <w:sz w:val="32"/>
          <w:szCs w:val="32"/>
        </w:rPr>
        <w:t>（十九）支持中药（蒙药）发展。</w:t>
      </w:r>
      <w:r>
        <w:rPr>
          <w:rFonts w:hint="eastAsia" w:ascii="仿宋_GB2312" w:eastAsia="仿宋_GB2312"/>
          <w:bCs/>
          <w:sz w:val="32"/>
          <w:szCs w:val="32"/>
        </w:rPr>
        <w:t>支持中药（蒙药）品种研发改良，鼓励科研机构、</w:t>
      </w:r>
      <w:r>
        <w:rPr>
          <w:rFonts w:hint="eastAsia" w:ascii="仿宋_GB2312" w:eastAsia="仿宋_GB2312"/>
          <w:bCs/>
          <w:sz w:val="32"/>
          <w:szCs w:val="32"/>
          <w:lang w:eastAsia="zh-CN"/>
        </w:rPr>
        <w:t>高等院校</w:t>
      </w:r>
      <w:r>
        <w:rPr>
          <w:rFonts w:hint="eastAsia" w:ascii="仿宋_GB2312" w:eastAsia="仿宋_GB2312"/>
          <w:bCs/>
          <w:sz w:val="32"/>
          <w:szCs w:val="32"/>
        </w:rPr>
        <w:t>、医疗机构、生产企业对经典</w:t>
      </w:r>
      <w:r>
        <w:rPr>
          <w:rFonts w:hint="eastAsia" w:ascii="仿宋_GB2312" w:eastAsia="仿宋_GB2312"/>
          <w:bCs/>
          <w:sz w:val="32"/>
          <w:szCs w:val="32"/>
          <w:lang w:eastAsia="zh-CN"/>
        </w:rPr>
        <w:t>中药（</w:t>
      </w:r>
      <w:r>
        <w:rPr>
          <w:rFonts w:hint="eastAsia" w:ascii="仿宋_GB2312" w:eastAsia="仿宋_GB2312"/>
          <w:bCs/>
          <w:sz w:val="32"/>
          <w:szCs w:val="32"/>
        </w:rPr>
        <w:t>蒙药</w:t>
      </w:r>
      <w:r>
        <w:rPr>
          <w:rFonts w:hint="eastAsia" w:ascii="仿宋_GB2312" w:eastAsia="仿宋_GB2312"/>
          <w:bCs/>
          <w:sz w:val="32"/>
          <w:szCs w:val="32"/>
          <w:lang w:eastAsia="zh-CN"/>
        </w:rPr>
        <w:t>）</w:t>
      </w:r>
      <w:r>
        <w:rPr>
          <w:rFonts w:hint="eastAsia" w:ascii="仿宋_GB2312" w:eastAsia="仿宋_GB2312"/>
          <w:bCs/>
          <w:sz w:val="32"/>
          <w:szCs w:val="32"/>
        </w:rPr>
        <w:t>品种开展有效物质基础、药理机制安全性、真实</w:t>
      </w:r>
      <w:r>
        <w:rPr>
          <w:rFonts w:hint="eastAsia" w:ascii="仿宋_GB2312" w:eastAsia="仿宋_GB2312"/>
          <w:b w:val="0"/>
          <w:bCs/>
          <w:sz w:val="32"/>
          <w:szCs w:val="32"/>
        </w:rPr>
        <w:t>世界</w:t>
      </w:r>
      <w:r>
        <w:rPr>
          <w:rFonts w:hint="eastAsia" w:ascii="仿宋_GB2312" w:eastAsia="仿宋_GB2312"/>
          <w:bCs/>
          <w:sz w:val="32"/>
          <w:szCs w:val="32"/>
        </w:rPr>
        <w:t>数据</w:t>
      </w:r>
      <w:r>
        <w:rPr>
          <w:rFonts w:hint="eastAsia" w:ascii="仿宋_GB2312" w:eastAsia="仿宋_GB2312"/>
          <w:bCs/>
          <w:sz w:val="32"/>
          <w:szCs w:val="32"/>
          <w:u w:val="none"/>
        </w:rPr>
        <w:t>、</w:t>
      </w:r>
      <w:r>
        <w:rPr>
          <w:rFonts w:hint="eastAsia" w:ascii="仿宋_GB2312" w:eastAsia="仿宋_GB2312"/>
          <w:bCs/>
          <w:sz w:val="32"/>
          <w:szCs w:val="32"/>
          <w:u w:val="none"/>
        </w:rPr>
        <w:t>病名术语对应转化</w:t>
      </w:r>
      <w:r>
        <w:rPr>
          <w:rFonts w:hint="eastAsia" w:ascii="仿宋_GB2312" w:eastAsia="仿宋_GB2312"/>
          <w:bCs/>
          <w:sz w:val="32"/>
          <w:szCs w:val="32"/>
        </w:rPr>
        <w:t>等</w:t>
      </w:r>
      <w:r>
        <w:rPr>
          <w:rFonts w:hint="eastAsia" w:ascii="仿宋_GB2312" w:eastAsia="仿宋_GB2312"/>
          <w:bCs/>
          <w:sz w:val="32"/>
          <w:szCs w:val="32"/>
        </w:rPr>
        <w:t>研究工作，提供中药（蒙药）品种申报常态化指导服务。优化和规范传统中药（蒙药）制剂备案管理，推动医疗机构制剂转化为上市药品品种。遴选中药（蒙药）经典名方、验方，搜集整理以自治区道地药材为主的中药（蒙药）名录和图鉴。推动道地药材规模化、规范化种植。支持建立第三方中药（蒙药）检验机构。</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bCs/>
          <w:sz w:val="32"/>
          <w:szCs w:val="32"/>
        </w:rPr>
      </w:pPr>
      <w:r>
        <w:rPr>
          <w:rFonts w:hint="eastAsia" w:ascii="楷体_GB2312" w:hAnsi="楷体_GB2312" w:eastAsia="楷体_GB2312" w:cs="楷体_GB2312"/>
          <w:bCs/>
          <w:sz w:val="32"/>
          <w:szCs w:val="32"/>
        </w:rPr>
        <w:t>（二十）坚持协调开放发展。</w:t>
      </w:r>
      <w:r>
        <w:rPr>
          <w:rFonts w:hint="eastAsia" w:ascii="仿宋_GB2312" w:hAnsi="Calibri" w:eastAsia="仿宋_GB2312" w:cs="黑体"/>
          <w:bCs/>
          <w:sz w:val="32"/>
          <w:szCs w:val="32"/>
          <w:lang w:eastAsia="zh-CN"/>
        </w:rPr>
        <w:t>积极</w:t>
      </w:r>
      <w:r>
        <w:rPr>
          <w:rFonts w:hint="eastAsia" w:ascii="仿宋_GB2312" w:eastAsia="仿宋_GB2312"/>
          <w:bCs/>
          <w:sz w:val="32"/>
          <w:szCs w:val="32"/>
        </w:rPr>
        <w:t>融入西部大开发、东北振兴等国家区域协调发展战略和</w:t>
      </w:r>
      <w:r>
        <w:rPr>
          <w:rFonts w:hint="eastAsia" w:ascii="仿宋_GB2312" w:eastAsia="仿宋_GB2312"/>
          <w:bCs/>
          <w:sz w:val="32"/>
          <w:szCs w:val="32"/>
          <w:lang w:eastAsia="zh-CN"/>
        </w:rPr>
        <w:t>共建</w:t>
      </w:r>
      <w:r>
        <w:rPr>
          <w:rFonts w:hint="eastAsia" w:ascii="仿宋_GB2312" w:eastAsia="仿宋_GB2312"/>
          <w:bCs/>
          <w:sz w:val="32"/>
          <w:szCs w:val="32"/>
        </w:rPr>
        <w:t>“一带一路”，发挥</w:t>
      </w:r>
      <w:r>
        <w:rPr>
          <w:rFonts w:hint="eastAsia" w:ascii="仿宋_GB2312" w:eastAsia="仿宋_GB2312"/>
          <w:bCs/>
          <w:sz w:val="32"/>
          <w:szCs w:val="32"/>
          <w:lang w:eastAsia="zh-CN"/>
        </w:rPr>
        <w:t>中药（</w:t>
      </w:r>
      <w:r>
        <w:rPr>
          <w:rFonts w:hint="eastAsia" w:ascii="仿宋_GB2312" w:eastAsia="仿宋_GB2312"/>
          <w:bCs/>
          <w:sz w:val="32"/>
          <w:szCs w:val="32"/>
        </w:rPr>
        <w:t>蒙药</w:t>
      </w:r>
      <w:r>
        <w:rPr>
          <w:rFonts w:hint="eastAsia" w:ascii="仿宋_GB2312" w:eastAsia="仿宋_GB2312"/>
          <w:bCs/>
          <w:sz w:val="32"/>
          <w:szCs w:val="32"/>
          <w:lang w:eastAsia="zh-CN"/>
        </w:rPr>
        <w:t>）</w:t>
      </w:r>
      <w:r>
        <w:rPr>
          <w:rFonts w:hint="eastAsia" w:ascii="仿宋_GB2312" w:eastAsia="仿宋_GB2312"/>
          <w:bCs/>
          <w:sz w:val="32"/>
          <w:szCs w:val="32"/>
        </w:rPr>
        <w:t>、生物制药等产业发展优势，</w:t>
      </w:r>
      <w:r>
        <w:rPr>
          <w:rFonts w:hint="eastAsia" w:ascii="仿宋_GB2312" w:eastAsia="仿宋_GB2312"/>
          <w:b w:val="0"/>
          <w:bCs/>
          <w:sz w:val="32"/>
          <w:szCs w:val="32"/>
        </w:rPr>
        <w:t>深化自治区有关部门间的协同</w:t>
      </w:r>
      <w:r>
        <w:rPr>
          <w:rFonts w:hint="eastAsia" w:ascii="仿宋_GB2312" w:eastAsia="仿宋_GB2312"/>
          <w:b w:val="0"/>
          <w:bCs/>
          <w:sz w:val="32"/>
          <w:szCs w:val="32"/>
          <w:lang w:eastAsia="zh-CN"/>
        </w:rPr>
        <w:t>，推动自治区有关部门</w:t>
      </w:r>
      <w:r>
        <w:rPr>
          <w:rFonts w:hint="eastAsia" w:ascii="仿宋_GB2312" w:eastAsia="仿宋_GB2312"/>
          <w:b w:val="0"/>
          <w:bCs/>
          <w:sz w:val="32"/>
          <w:szCs w:val="32"/>
        </w:rPr>
        <w:t>与相关盟</w:t>
      </w:r>
      <w:r>
        <w:rPr>
          <w:rFonts w:hint="eastAsia" w:ascii="仿宋_GB2312" w:eastAsia="仿宋_GB2312"/>
          <w:b w:val="0"/>
          <w:bCs/>
          <w:sz w:val="32"/>
          <w:szCs w:val="32"/>
          <w:lang w:eastAsia="zh-CN"/>
        </w:rPr>
        <w:t>行政公署、</w:t>
      </w:r>
      <w:r>
        <w:rPr>
          <w:rFonts w:hint="eastAsia" w:ascii="仿宋_GB2312" w:eastAsia="仿宋_GB2312"/>
          <w:b w:val="0"/>
          <w:bCs/>
          <w:sz w:val="32"/>
          <w:szCs w:val="32"/>
        </w:rPr>
        <w:t>市</w:t>
      </w:r>
      <w:r>
        <w:rPr>
          <w:rFonts w:hint="eastAsia" w:ascii="仿宋_GB2312" w:eastAsia="仿宋_GB2312"/>
          <w:b w:val="0"/>
          <w:bCs/>
          <w:sz w:val="32"/>
          <w:szCs w:val="32"/>
          <w:lang w:eastAsia="zh-CN"/>
        </w:rPr>
        <w:t>人民</w:t>
      </w:r>
      <w:r>
        <w:rPr>
          <w:rFonts w:hint="eastAsia" w:ascii="仿宋_GB2312" w:eastAsia="仿宋_GB2312"/>
          <w:b w:val="0"/>
          <w:bCs/>
          <w:sz w:val="32"/>
          <w:szCs w:val="32"/>
        </w:rPr>
        <w:t>政府开展战略合作。</w:t>
      </w:r>
      <w:r>
        <w:rPr>
          <w:rFonts w:hint="eastAsia" w:ascii="仿宋_GB2312" w:eastAsia="仿宋_GB2312"/>
          <w:bCs/>
          <w:sz w:val="32"/>
          <w:szCs w:val="32"/>
        </w:rPr>
        <w:t>加强</w:t>
      </w:r>
      <w:r>
        <w:rPr>
          <w:rFonts w:hint="eastAsia" w:ascii="仿宋_GB2312" w:eastAsia="仿宋_GB2312"/>
          <w:bCs/>
          <w:sz w:val="32"/>
          <w:szCs w:val="32"/>
          <w:lang w:eastAsia="zh-CN"/>
        </w:rPr>
        <w:t>中药（</w:t>
      </w:r>
      <w:r>
        <w:rPr>
          <w:rFonts w:hint="eastAsia" w:ascii="仿宋_GB2312" w:eastAsia="仿宋_GB2312"/>
          <w:bCs/>
          <w:sz w:val="32"/>
          <w:szCs w:val="32"/>
        </w:rPr>
        <w:t>蒙药</w:t>
      </w:r>
      <w:r>
        <w:rPr>
          <w:rFonts w:hint="eastAsia" w:ascii="仿宋_GB2312" w:eastAsia="仿宋_GB2312"/>
          <w:bCs/>
          <w:sz w:val="32"/>
          <w:szCs w:val="32"/>
          <w:lang w:eastAsia="zh-CN"/>
        </w:rPr>
        <w:t>）</w:t>
      </w:r>
      <w:r>
        <w:rPr>
          <w:rFonts w:hint="eastAsia" w:ascii="仿宋_GB2312" w:eastAsia="仿宋_GB2312"/>
          <w:bCs/>
          <w:sz w:val="32"/>
          <w:szCs w:val="32"/>
        </w:rPr>
        <w:t>对外交流推广，推动与国际科研机构、医疗机构开展合作，深入开展</w:t>
      </w:r>
      <w:r>
        <w:rPr>
          <w:rFonts w:hint="eastAsia" w:ascii="仿宋_GB2312" w:eastAsia="仿宋_GB2312"/>
          <w:bCs/>
          <w:sz w:val="32"/>
          <w:szCs w:val="32"/>
          <w:lang w:eastAsia="zh-CN"/>
        </w:rPr>
        <w:t>中医药（</w:t>
      </w:r>
      <w:r>
        <w:rPr>
          <w:rFonts w:hint="eastAsia" w:ascii="仿宋_GB2312" w:eastAsia="仿宋_GB2312"/>
          <w:bCs/>
          <w:sz w:val="32"/>
          <w:szCs w:val="32"/>
        </w:rPr>
        <w:t>蒙医药</w:t>
      </w:r>
      <w:r>
        <w:rPr>
          <w:rFonts w:hint="eastAsia" w:ascii="仿宋_GB2312" w:eastAsia="仿宋_GB2312"/>
          <w:bCs/>
          <w:sz w:val="32"/>
          <w:szCs w:val="32"/>
          <w:lang w:eastAsia="zh-CN"/>
        </w:rPr>
        <w:t>）</w:t>
      </w:r>
      <w:r>
        <w:rPr>
          <w:rFonts w:hint="eastAsia" w:ascii="仿宋_GB2312" w:eastAsia="仿宋_GB2312"/>
          <w:bCs/>
          <w:sz w:val="32"/>
          <w:szCs w:val="32"/>
        </w:rPr>
        <w:t>产业及学术研讨交流活动。推动建立</w:t>
      </w:r>
      <w:r>
        <w:rPr>
          <w:rFonts w:hint="eastAsia" w:ascii="仿宋_GB2312" w:eastAsia="仿宋_GB2312"/>
          <w:bCs/>
          <w:sz w:val="32"/>
          <w:szCs w:val="32"/>
          <w:lang w:eastAsia="zh-CN"/>
        </w:rPr>
        <w:t>中药（</w:t>
      </w:r>
      <w:r>
        <w:rPr>
          <w:rFonts w:hint="eastAsia" w:ascii="仿宋_GB2312" w:eastAsia="仿宋_GB2312"/>
          <w:bCs/>
          <w:sz w:val="32"/>
          <w:szCs w:val="32"/>
        </w:rPr>
        <w:t>蒙药</w:t>
      </w:r>
      <w:r>
        <w:rPr>
          <w:rFonts w:hint="eastAsia" w:ascii="仿宋_GB2312" w:eastAsia="仿宋_GB2312"/>
          <w:bCs/>
          <w:sz w:val="32"/>
          <w:szCs w:val="32"/>
          <w:lang w:eastAsia="zh-CN"/>
        </w:rPr>
        <w:t>）</w:t>
      </w:r>
      <w:r>
        <w:rPr>
          <w:rFonts w:hint="eastAsia" w:ascii="仿宋_GB2312" w:eastAsia="仿宋_GB2312"/>
          <w:bCs/>
          <w:sz w:val="32"/>
          <w:szCs w:val="32"/>
        </w:rPr>
        <w:t>产业联盟和创新发展平台，有力开拓区外市场，扩大特色</w:t>
      </w:r>
      <w:r>
        <w:rPr>
          <w:rFonts w:hint="eastAsia" w:ascii="仿宋_GB2312" w:eastAsia="仿宋_GB2312"/>
          <w:bCs/>
          <w:sz w:val="32"/>
          <w:szCs w:val="32"/>
          <w:lang w:eastAsia="zh-CN"/>
        </w:rPr>
        <w:t>中药（</w:t>
      </w:r>
      <w:r>
        <w:rPr>
          <w:rFonts w:hint="eastAsia" w:ascii="仿宋_GB2312" w:eastAsia="仿宋_GB2312"/>
          <w:bCs/>
          <w:sz w:val="32"/>
          <w:szCs w:val="32"/>
        </w:rPr>
        <w:t>蒙药</w:t>
      </w:r>
      <w:r>
        <w:rPr>
          <w:rFonts w:hint="eastAsia" w:ascii="仿宋_GB2312" w:eastAsia="仿宋_GB2312"/>
          <w:bCs/>
          <w:sz w:val="32"/>
          <w:szCs w:val="32"/>
          <w:lang w:eastAsia="zh-CN"/>
        </w:rPr>
        <w:t>）</w:t>
      </w:r>
      <w:r>
        <w:rPr>
          <w:rFonts w:hint="eastAsia" w:ascii="仿宋_GB2312" w:eastAsia="仿宋_GB2312"/>
          <w:bCs/>
          <w:sz w:val="32"/>
          <w:szCs w:val="32"/>
        </w:rPr>
        <w:t>市场份额和出口规模。实施跨省药品监管互认，积极参与国际药品监管协调机制。</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outlineLvl w:val="1"/>
        <w:rPr>
          <w:rFonts w:ascii="黑体" w:hAnsi="黑体" w:eastAsia="黑体" w:cs="黑体"/>
          <w:bCs/>
          <w:sz w:val="32"/>
        </w:rPr>
      </w:pPr>
      <w:r>
        <w:rPr>
          <w:rFonts w:hint="eastAsia" w:ascii="黑体" w:hAnsi="黑体" w:eastAsia="黑体" w:cs="黑体"/>
          <w:bCs/>
          <w:sz w:val="32"/>
        </w:rPr>
        <w:t>三、强化责任落实和政策支持保障</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宋体"/>
          <w:bCs/>
          <w:kern w:val="0"/>
          <w:sz w:val="32"/>
          <w:szCs w:val="32"/>
        </w:rPr>
      </w:pPr>
      <w:r>
        <w:rPr>
          <w:rFonts w:hint="eastAsia" w:ascii="楷体_GB2312" w:hAnsi="楷体_GB2312" w:eastAsia="楷体_GB2312" w:cs="楷体_GB2312"/>
          <w:bCs/>
          <w:sz w:val="32"/>
          <w:szCs w:val="32"/>
        </w:rPr>
        <w:t>（二十一）</w:t>
      </w:r>
      <w:r>
        <w:rPr>
          <w:rFonts w:hint="eastAsia" w:ascii="楷体_GB2312" w:hAnsi="楷体_GB2312" w:eastAsia="楷体_GB2312" w:cs="楷体_GB2312"/>
          <w:bCs/>
          <w:sz w:val="32"/>
          <w:szCs w:val="32"/>
          <w:lang w:eastAsia="zh-CN"/>
        </w:rPr>
        <w:t>加强组织领导</w:t>
      </w:r>
      <w:r>
        <w:rPr>
          <w:rFonts w:hint="eastAsia" w:ascii="楷体_GB2312" w:hAnsi="楷体_GB2312" w:eastAsia="楷体_GB2312" w:cs="楷体_GB2312"/>
          <w:bCs/>
          <w:sz w:val="32"/>
          <w:szCs w:val="32"/>
        </w:rPr>
        <w:t>。</w:t>
      </w:r>
      <w:r>
        <w:rPr>
          <w:rFonts w:hint="eastAsia" w:ascii="仿宋_GB2312" w:hAnsi="宋体" w:eastAsia="仿宋_GB2312" w:cs="宋体"/>
          <w:bCs/>
          <w:kern w:val="0"/>
          <w:sz w:val="32"/>
          <w:szCs w:val="32"/>
        </w:rPr>
        <w:t>各</w:t>
      </w:r>
      <w:r>
        <w:rPr>
          <w:rFonts w:hint="eastAsia" w:ascii="仿宋_GB2312" w:hAnsi="宋体" w:eastAsia="仿宋_GB2312" w:cs="宋体"/>
          <w:bCs/>
          <w:kern w:val="0"/>
          <w:sz w:val="32"/>
          <w:szCs w:val="32"/>
          <w:lang w:eastAsia="zh-CN"/>
        </w:rPr>
        <w:t>地区</w:t>
      </w:r>
      <w:r>
        <w:rPr>
          <w:rFonts w:hint="eastAsia" w:ascii="仿宋_GB2312" w:hAnsi="宋体" w:eastAsia="仿宋_GB2312" w:cs="宋体"/>
          <w:bCs/>
          <w:kern w:val="0"/>
          <w:sz w:val="32"/>
          <w:szCs w:val="32"/>
        </w:rPr>
        <w:t>要坚决扛起药品安全尤其是疫苗安全的政治责任，</w:t>
      </w:r>
      <w:r>
        <w:rPr>
          <w:rFonts w:hint="eastAsia" w:ascii="仿宋_GB2312" w:hAnsi="宋体" w:eastAsia="仿宋_GB2312" w:cs="宋体"/>
          <w:bCs/>
          <w:kern w:val="0"/>
          <w:sz w:val="32"/>
          <w:szCs w:val="32"/>
          <w:lang w:eastAsia="zh-CN"/>
        </w:rPr>
        <w:t>坚持党政同责，</w:t>
      </w:r>
      <w:r>
        <w:rPr>
          <w:rFonts w:hint="eastAsia" w:ascii="仿宋_GB2312" w:hAnsi="宋体" w:eastAsia="仿宋_GB2312" w:cs="宋体"/>
          <w:bCs/>
          <w:kern w:val="0"/>
          <w:sz w:val="32"/>
          <w:szCs w:val="32"/>
        </w:rPr>
        <w:t>做到守土有责、守土尽责。盟</w:t>
      </w:r>
      <w:r>
        <w:rPr>
          <w:rFonts w:hint="eastAsia" w:ascii="仿宋_GB2312" w:hAnsi="宋体" w:eastAsia="仿宋_GB2312" w:cs="宋体"/>
          <w:bCs/>
          <w:kern w:val="0"/>
          <w:sz w:val="32"/>
          <w:szCs w:val="32"/>
          <w:lang w:eastAsia="zh-CN"/>
        </w:rPr>
        <w:t>行政公署、</w:t>
      </w:r>
      <w:r>
        <w:rPr>
          <w:rFonts w:hint="eastAsia" w:ascii="仿宋_GB2312" w:hAnsi="宋体" w:eastAsia="仿宋_GB2312" w:cs="宋体"/>
          <w:bCs/>
          <w:kern w:val="0"/>
          <w:sz w:val="32"/>
          <w:szCs w:val="32"/>
        </w:rPr>
        <w:t>市</w:t>
      </w:r>
      <w:r>
        <w:rPr>
          <w:rFonts w:hint="eastAsia" w:ascii="仿宋_GB2312" w:hAnsi="宋体" w:eastAsia="仿宋_GB2312" w:cs="宋体"/>
          <w:bCs/>
          <w:kern w:val="0"/>
          <w:sz w:val="32"/>
          <w:szCs w:val="32"/>
          <w:lang w:eastAsia="zh-CN"/>
        </w:rPr>
        <w:t>人民政府，</w:t>
      </w:r>
      <w:r>
        <w:rPr>
          <w:rFonts w:hint="eastAsia" w:ascii="仿宋_GB2312" w:hAnsi="宋体" w:eastAsia="仿宋_GB2312" w:cs="宋体"/>
          <w:bCs/>
          <w:kern w:val="0"/>
          <w:sz w:val="32"/>
          <w:szCs w:val="32"/>
        </w:rPr>
        <w:t>旗县（市、区）人民政府</w:t>
      </w:r>
      <w:r>
        <w:rPr>
          <w:rFonts w:hint="eastAsia" w:ascii="仿宋_GB2312" w:hAnsi="宋体" w:eastAsia="仿宋_GB2312" w:cs="宋体"/>
          <w:bCs/>
          <w:kern w:val="0"/>
          <w:sz w:val="32"/>
          <w:szCs w:val="32"/>
          <w:lang w:eastAsia="zh-CN"/>
        </w:rPr>
        <w:t>要</w:t>
      </w:r>
      <w:r>
        <w:rPr>
          <w:rFonts w:hint="eastAsia" w:ascii="仿宋_GB2312" w:hAnsi="宋体" w:eastAsia="仿宋_GB2312" w:cs="宋体"/>
          <w:bCs/>
          <w:kern w:val="0"/>
          <w:sz w:val="32"/>
          <w:szCs w:val="32"/>
        </w:rPr>
        <w:t>建立健全</w:t>
      </w:r>
      <w:r>
        <w:rPr>
          <w:rFonts w:hint="eastAsia" w:ascii="仿宋_GB2312" w:hAnsi="宋体" w:eastAsia="仿宋_GB2312" w:cs="宋体"/>
          <w:bCs/>
          <w:kern w:val="0"/>
          <w:sz w:val="32"/>
          <w:szCs w:val="32"/>
          <w:lang w:eastAsia="zh-CN"/>
        </w:rPr>
        <w:t>本级</w:t>
      </w:r>
      <w:r>
        <w:rPr>
          <w:rFonts w:hint="eastAsia" w:ascii="仿宋_GB2312" w:hAnsi="宋体" w:eastAsia="仿宋_GB2312" w:cs="宋体"/>
          <w:bCs/>
          <w:kern w:val="0"/>
          <w:sz w:val="32"/>
          <w:szCs w:val="32"/>
        </w:rPr>
        <w:t>食品药品安全委员会，加强对药品安全监管工作的领导</w:t>
      </w:r>
      <w:r>
        <w:rPr>
          <w:rFonts w:hint="eastAsia" w:ascii="仿宋_GB2312" w:hAnsi="宋体" w:eastAsia="仿宋_GB2312" w:cs="宋体"/>
          <w:bCs/>
          <w:kern w:val="0"/>
          <w:sz w:val="32"/>
          <w:szCs w:val="32"/>
          <w:lang w:eastAsia="zh-CN"/>
        </w:rPr>
        <w:t>，</w:t>
      </w:r>
      <w:r>
        <w:rPr>
          <w:rFonts w:hint="eastAsia" w:ascii="仿宋_GB2312" w:hAnsi="宋体" w:eastAsia="仿宋_GB2312" w:cs="宋体"/>
          <w:bCs/>
          <w:kern w:val="0"/>
          <w:sz w:val="32"/>
          <w:szCs w:val="32"/>
        </w:rPr>
        <w:t>落实药品安全属地管理责任，完善药品安全责任制度，对本地区药品安全工作依法承担相应责任。健全考核评估体系，组织开展年度药品安全考评，加强考评结果运用。</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bCs/>
          <w:sz w:val="32"/>
          <w:szCs w:val="32"/>
        </w:rPr>
      </w:pPr>
      <w:r>
        <w:rPr>
          <w:rFonts w:hint="eastAsia" w:ascii="楷体_GB2312" w:hAnsi="楷体_GB2312" w:eastAsia="楷体_GB2312" w:cs="楷体_GB2312"/>
          <w:bCs/>
          <w:sz w:val="32"/>
          <w:szCs w:val="32"/>
        </w:rPr>
        <w:t>（二十二）完善治理机制。</w:t>
      </w:r>
      <w:r>
        <w:rPr>
          <w:rFonts w:hint="eastAsia" w:ascii="仿宋_GB2312" w:eastAsia="仿宋_GB2312"/>
          <w:bCs/>
          <w:sz w:val="32"/>
          <w:szCs w:val="32"/>
        </w:rPr>
        <w:t>压实药品安全企业主体责任，监督企业依法依规开展研制创新、生产经营等活动。鼓励支持药品行业协会规范发展、发挥作用。建立严重违法失信名单判定标准、公示制度、信用修复、信息共享机制，实施信用联合惩戒。畅通投诉举报渠道，加大主流媒体药品安全公益宣传力度。加强药品管理相关部门协调联动，注重药品监管与医疗管理、医保管理</w:t>
      </w:r>
      <w:r>
        <w:rPr>
          <w:rFonts w:hint="eastAsia" w:ascii="仿宋_GB2312" w:eastAsia="仿宋_GB2312"/>
          <w:bCs/>
          <w:sz w:val="32"/>
          <w:szCs w:val="32"/>
        </w:rPr>
        <w:t>数据</w:t>
      </w:r>
      <w:r>
        <w:rPr>
          <w:rFonts w:hint="eastAsia" w:ascii="仿宋_GB2312" w:eastAsia="仿宋_GB2312"/>
          <w:bCs/>
          <w:sz w:val="32"/>
          <w:szCs w:val="32"/>
        </w:rPr>
        <w:t>的衔接应用，实现信息资源共享，形成药品安全治理合力。</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ascii="仿宋_GB2312" w:eastAsia="仿宋_GB2312"/>
          <w:bCs/>
          <w:sz w:val="32"/>
          <w:szCs w:val="32"/>
        </w:rPr>
      </w:pPr>
      <w:r>
        <w:rPr>
          <w:rFonts w:hint="eastAsia" w:ascii="楷体_GB2312" w:hAnsi="楷体_GB2312" w:eastAsia="楷体_GB2312" w:cs="楷体_GB2312"/>
          <w:bCs/>
          <w:sz w:val="32"/>
          <w:szCs w:val="32"/>
        </w:rPr>
        <w:t>（二十三）强化保障支持。</w:t>
      </w:r>
      <w:r>
        <w:rPr>
          <w:rFonts w:hint="eastAsia" w:ascii="仿宋_GB2312" w:eastAsia="仿宋_GB2312"/>
          <w:bCs/>
          <w:sz w:val="32"/>
          <w:szCs w:val="32"/>
        </w:rPr>
        <w:t>创新完善适合药品监管工作特点的经费政策，合理安排、足额保障药品监管经费，各级财政根据财力适时增加药品监管经费的规模。将审评、检查、检验、监测评价、标准管理等技术支撑服务纳入政府购买服务范围，优化经费支出结构，提升购买服务效能。积极争取国家支持，通过专项转移支付支持基层药品监管工作。</w:t>
      </w:r>
    </w:p>
    <w:p>
      <w:pPr>
        <w:pStyle w:val="8"/>
        <w:shd w:val="clear" w:color="auto" w:fill="FFFFFF"/>
        <w:spacing w:before="0" w:beforeAutospacing="0" w:after="0" w:afterAutospacing="0" w:line="580" w:lineRule="exact"/>
        <w:ind w:firstLine="640" w:firstLineChars="200"/>
        <w:jc w:val="both"/>
        <w:rPr>
          <w:rFonts w:ascii="仿宋_GB2312" w:eastAsia="仿宋_GB2312"/>
          <w:bCs/>
          <w:sz w:val="32"/>
          <w:szCs w:val="32"/>
        </w:rPr>
      </w:pPr>
      <w:r>
        <w:rPr>
          <w:rFonts w:hint="eastAsia" w:ascii="楷体_GB2312" w:hAnsi="楷体_GB2312" w:eastAsia="楷体_GB2312" w:cs="楷体_GB2312"/>
          <w:bCs/>
          <w:sz w:val="32"/>
          <w:szCs w:val="32"/>
        </w:rPr>
        <w:t>（二十四）优化人事管理。</w:t>
      </w:r>
      <w:r>
        <w:rPr>
          <w:rFonts w:hint="eastAsia" w:ascii="仿宋_GB2312" w:eastAsia="仿宋_GB2312"/>
          <w:bCs/>
          <w:sz w:val="32"/>
          <w:szCs w:val="32"/>
        </w:rPr>
        <w:t>科学确定技术机构承担审评、检查、检验、监测评价、标准管理等职能的人员编制数量，综合运用内部调剂事业编制、政府购买服务、合同聘用等方式，</w:t>
      </w:r>
      <w:r>
        <w:rPr>
          <w:rFonts w:hint="eastAsia" w:ascii="仿宋_GB2312" w:eastAsia="仿宋_GB2312"/>
          <w:bCs/>
          <w:sz w:val="32"/>
          <w:szCs w:val="32"/>
          <w:lang w:eastAsia="zh-CN"/>
        </w:rPr>
        <w:t>逐步</w:t>
      </w:r>
      <w:r>
        <w:rPr>
          <w:rFonts w:hint="eastAsia" w:ascii="仿宋_GB2312" w:eastAsia="仿宋_GB2312"/>
          <w:bCs/>
          <w:sz w:val="32"/>
          <w:szCs w:val="32"/>
        </w:rPr>
        <w:t>实现技术机构人员数量、岗位设置与监管需要相匹配。合理核定相关技术机构绩效工资总量，在绩效工资分配时可向高风险岗位人员倾斜。设立药品安全首席专家岗位。在人才引进、公开招聘、岗位设置、职称评聘、薪酬待遇等方面强化政策保障，将药品检查员层级与职称评审相衔接，破除人才职业发展瓶颈。</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bCs/>
          <w:sz w:val="32"/>
          <w:szCs w:val="32"/>
        </w:rPr>
      </w:pPr>
      <w:r>
        <w:rPr>
          <w:rFonts w:hint="eastAsia" w:ascii="楷体_GB2312" w:hAnsi="楷体_GB2312" w:eastAsia="楷体_GB2312" w:cs="楷体_GB2312"/>
          <w:bCs/>
          <w:sz w:val="32"/>
          <w:szCs w:val="32"/>
        </w:rPr>
        <w:t>（二十五）激励担当作为。</w:t>
      </w:r>
      <w:r>
        <w:rPr>
          <w:rFonts w:hint="eastAsia" w:ascii="仿宋_GB2312" w:eastAsia="仿宋_GB2312"/>
          <w:bCs/>
          <w:sz w:val="32"/>
          <w:szCs w:val="32"/>
        </w:rPr>
        <w:t>加强药品监管队伍思想政治建设，教育引导干部忠实履行药品监管责任。树立鲜明用人导向，坚持严管和厚爱结合、激励和约束并重，鼓励干部锐意进取、担当作为。建立健全容错纠错和人才评价激励机制，激发监管队伍的活力和创造力。建立全区药品监管战线先进集体、先进个人和稽查办案人员</w:t>
      </w:r>
      <w:r>
        <w:rPr>
          <w:rFonts w:hint="eastAsia" w:ascii="仿宋_GB2312" w:eastAsia="仿宋_GB2312"/>
          <w:bCs/>
          <w:sz w:val="32"/>
          <w:szCs w:val="32"/>
          <w:lang w:eastAsia="zh-CN"/>
        </w:rPr>
        <w:t>表彰</w:t>
      </w:r>
      <w:r>
        <w:rPr>
          <w:rFonts w:hint="eastAsia" w:ascii="仿宋_GB2312" w:eastAsia="仿宋_GB2312"/>
          <w:bCs/>
          <w:sz w:val="32"/>
          <w:szCs w:val="32"/>
        </w:rPr>
        <w:t>奖励机制，按照国家和自治区有关规定给予表彰奖励，推动形成团结奋进、积极作为、昂扬向上的良好风尚。</w:t>
      </w: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bCs/>
          <w:sz w:val="32"/>
          <w:szCs w:val="32"/>
        </w:rPr>
      </w:pP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bCs/>
          <w:sz w:val="32"/>
          <w:szCs w:val="32"/>
        </w:rPr>
      </w:pP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bCs/>
          <w:sz w:val="32"/>
          <w:szCs w:val="32"/>
        </w:rPr>
      </w:pPr>
    </w:p>
    <w:p>
      <w:pPr>
        <w:pStyle w:val="8"/>
        <w:keepNext w:val="0"/>
        <w:keepLines w:val="0"/>
        <w:pageBreakBefore w:val="0"/>
        <w:widowControl w:val="0"/>
        <w:shd w:val="clear" w:color="auto" w:fill="FFFFFF"/>
        <w:kinsoku/>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bCs/>
          <w:sz w:val="32"/>
          <w:szCs w:val="32"/>
        </w:rPr>
      </w:pPr>
    </w:p>
    <w:p>
      <w:pPr>
        <w:pStyle w:val="8"/>
        <w:shd w:val="clear" w:color="auto" w:fill="FFFFFF"/>
        <w:spacing w:before="0" w:beforeAutospacing="0" w:after="0" w:afterAutospacing="0" w:line="580" w:lineRule="exact"/>
        <w:ind w:firstLine="3200" w:firstLineChars="1000"/>
        <w:jc w:val="both"/>
        <w:rPr>
          <w:rFonts w:hint="eastAsia" w:ascii="仿宋_GB2312" w:eastAsia="仿宋_GB2312"/>
          <w:bCs/>
          <w:sz w:val="32"/>
          <w:szCs w:val="32"/>
          <w:lang w:val="en-US" w:eastAsia="zh-CN"/>
        </w:rPr>
      </w:pPr>
      <w:r>
        <w:rPr>
          <w:rFonts w:hint="eastAsia" w:ascii="仿宋_GB2312" w:eastAsia="仿宋_GB2312"/>
          <w:bCs/>
          <w:sz w:val="32"/>
          <w:szCs w:val="32"/>
          <w:lang w:val="en-US" w:eastAsia="zh-CN"/>
        </w:rPr>
        <w:t xml:space="preserve">           2022年4月 18日</w:t>
      </w:r>
    </w:p>
    <w:p>
      <w:pPr>
        <w:pStyle w:val="8"/>
        <w:shd w:val="clear" w:color="auto" w:fill="FFFFFF"/>
        <w:spacing w:before="0" w:beforeAutospacing="0" w:after="0" w:afterAutospacing="0" w:line="580" w:lineRule="exact"/>
        <w:ind w:firstLine="640" w:firstLineChars="200"/>
        <w:jc w:val="both"/>
        <w:rPr>
          <w:rFonts w:hint="eastAsia" w:ascii="仿宋_GB2312" w:eastAsia="仿宋_GB2312"/>
          <w:bCs/>
          <w:sz w:val="32"/>
          <w:szCs w:val="32"/>
          <w:lang w:val="en-US" w:eastAsia="zh-CN"/>
        </w:rPr>
      </w:pPr>
      <w:r>
        <w:rPr>
          <w:rFonts w:hint="eastAsia" w:ascii="仿宋_GB2312" w:eastAsia="仿宋_GB2312"/>
          <w:bCs/>
          <w:sz w:val="32"/>
          <w:szCs w:val="32"/>
          <w:lang w:val="en-US" w:eastAsia="zh-CN"/>
        </w:rPr>
        <w:t>（此件公开发布）</w:t>
      </w:r>
    </w:p>
    <w:p>
      <w:pPr>
        <w:pStyle w:val="8"/>
        <w:shd w:val="clear" w:color="auto" w:fill="FFFFFF"/>
        <w:spacing w:before="0" w:beforeAutospacing="0" w:after="0" w:afterAutospacing="0" w:line="580" w:lineRule="exact"/>
        <w:ind w:firstLine="640" w:firstLineChars="200"/>
        <w:jc w:val="both"/>
        <w:rPr>
          <w:rFonts w:hint="eastAsia" w:ascii="仿宋_GB2312" w:eastAsia="仿宋_GB2312"/>
          <w:bCs/>
          <w:sz w:val="32"/>
          <w:szCs w:val="32"/>
          <w:lang w:val="en-US" w:eastAsia="zh-CN"/>
        </w:rPr>
      </w:pPr>
    </w:p>
    <w:p>
      <w:pPr>
        <w:pStyle w:val="8"/>
        <w:shd w:val="clear" w:color="auto" w:fill="FFFFFF"/>
        <w:spacing w:before="0" w:beforeAutospacing="0" w:after="0" w:afterAutospacing="0" w:line="580" w:lineRule="exact"/>
        <w:ind w:firstLine="640" w:firstLineChars="200"/>
        <w:jc w:val="both"/>
        <w:rPr>
          <w:rFonts w:hint="eastAsia" w:ascii="仿宋_GB2312" w:eastAsia="仿宋_GB2312"/>
          <w:bCs/>
          <w:sz w:val="32"/>
          <w:szCs w:val="32"/>
          <w:lang w:val="en-US" w:eastAsia="zh-CN"/>
        </w:rPr>
      </w:pPr>
    </w:p>
    <w:p>
      <w:pPr>
        <w:pStyle w:val="8"/>
        <w:shd w:val="clear" w:color="auto" w:fill="FFFFFF"/>
        <w:spacing w:before="0" w:beforeAutospacing="0" w:after="0" w:afterAutospacing="0" w:line="580" w:lineRule="exact"/>
        <w:ind w:firstLine="0" w:firstLineChars="0"/>
        <w:jc w:val="both"/>
        <w:rPr>
          <w:rFonts w:hint="default" w:ascii="仿宋_GB2312" w:eastAsia="仿宋_GB2312"/>
          <w:bCs/>
          <w:sz w:val="32"/>
          <w:szCs w:val="32"/>
          <w:lang w:val="en-US" w:eastAsia="zh-CN"/>
        </w:rPr>
      </w:pPr>
    </w:p>
    <w:p>
      <w:pPr>
        <w:pStyle w:val="8"/>
        <w:shd w:val="clear" w:color="auto" w:fill="FFFFFF"/>
        <w:spacing w:before="0" w:beforeAutospacing="0" w:after="0" w:afterAutospacing="0" w:line="580" w:lineRule="exact"/>
        <w:ind w:firstLine="0" w:firstLineChars="0"/>
        <w:jc w:val="both"/>
        <w:rPr>
          <w:rFonts w:hint="default" w:ascii="仿宋_GB2312" w:eastAsia="仿宋_GB2312"/>
          <w:bCs/>
          <w:sz w:val="32"/>
          <w:szCs w:val="32"/>
          <w:lang w:val="en-US" w:eastAsia="zh-CN"/>
        </w:rPr>
      </w:pPr>
    </w:p>
    <w:p>
      <w:pPr>
        <w:pStyle w:val="8"/>
        <w:shd w:val="clear" w:color="auto" w:fill="FFFFFF"/>
        <w:spacing w:before="0" w:beforeAutospacing="0" w:after="0" w:afterAutospacing="0" w:line="580" w:lineRule="exact"/>
        <w:ind w:firstLine="0" w:firstLineChars="0"/>
        <w:jc w:val="both"/>
        <w:rPr>
          <w:rFonts w:hint="default" w:ascii="仿宋_GB2312" w:eastAsia="仿宋_GB2312"/>
          <w:bCs/>
          <w:sz w:val="32"/>
          <w:szCs w:val="32"/>
          <w:lang w:val="en-US" w:eastAsia="zh-CN"/>
        </w:rPr>
      </w:pPr>
    </w:p>
    <w:p>
      <w:pPr>
        <w:pStyle w:val="8"/>
        <w:shd w:val="clear" w:color="auto" w:fill="FFFFFF"/>
        <w:spacing w:before="0" w:beforeAutospacing="0" w:after="0" w:afterAutospacing="0" w:line="580" w:lineRule="exact"/>
        <w:ind w:firstLine="0" w:firstLineChars="0"/>
        <w:jc w:val="both"/>
        <w:rPr>
          <w:rFonts w:hint="default" w:ascii="仿宋_GB2312" w:eastAsia="仿宋_GB2312"/>
          <w:bCs/>
          <w:sz w:val="32"/>
          <w:szCs w:val="32"/>
          <w:lang w:val="en-US" w:eastAsia="zh-CN"/>
        </w:rPr>
      </w:pPr>
    </w:p>
    <w:p>
      <w:pPr>
        <w:keepNext w:val="0"/>
        <w:keepLines w:val="0"/>
        <w:pageBreakBefore w:val="0"/>
        <w:widowControl w:val="0"/>
        <w:kinsoku/>
        <w:overflowPunct/>
        <w:topLinePunct w:val="0"/>
        <w:autoSpaceDE/>
        <w:autoSpaceDN/>
        <w:bidi w:val="0"/>
        <w:spacing w:line="580" w:lineRule="exact"/>
        <w:textAlignment w:val="auto"/>
        <w:rPr>
          <w:rFonts w:hint="eastAsia"/>
        </w:rPr>
      </w:pPr>
    </w:p>
    <w:p>
      <w:pPr>
        <w:keepNext w:val="0"/>
        <w:keepLines w:val="0"/>
        <w:pageBreakBefore w:val="0"/>
        <w:widowControl w:val="0"/>
        <w:kinsoku/>
        <w:overflowPunct/>
        <w:topLinePunct w:val="0"/>
        <w:autoSpaceDE/>
        <w:autoSpaceDN/>
        <w:bidi w:val="0"/>
        <w:spacing w:line="580" w:lineRule="exact"/>
        <w:textAlignment w:val="auto"/>
        <w:rPr>
          <w:rFonts w:hint="eastAsia"/>
        </w:rPr>
      </w:pPr>
    </w:p>
    <w:p>
      <w:pPr>
        <w:keepNext w:val="0"/>
        <w:keepLines w:val="0"/>
        <w:pageBreakBefore w:val="0"/>
        <w:widowControl w:val="0"/>
        <w:kinsoku/>
        <w:overflowPunct/>
        <w:topLinePunct w:val="0"/>
        <w:autoSpaceDE/>
        <w:autoSpaceDN/>
        <w:bidi w:val="0"/>
        <w:spacing w:line="580" w:lineRule="exact"/>
        <w:textAlignment w:val="auto"/>
        <w:rPr>
          <w:rFonts w:hint="eastAsia"/>
        </w:rPr>
      </w:pPr>
    </w:p>
    <w:p>
      <w:pPr>
        <w:keepNext w:val="0"/>
        <w:keepLines w:val="0"/>
        <w:pageBreakBefore w:val="0"/>
        <w:widowControl w:val="0"/>
        <w:kinsoku/>
        <w:overflowPunct/>
        <w:topLinePunct w:val="0"/>
        <w:autoSpaceDE/>
        <w:autoSpaceDN/>
        <w:bidi w:val="0"/>
        <w:spacing w:line="580" w:lineRule="exact"/>
        <w:textAlignment w:val="auto"/>
        <w:rPr>
          <w:rFonts w:hint="eastAsia"/>
        </w:rPr>
      </w:pPr>
    </w:p>
    <w:p>
      <w:pPr>
        <w:keepNext w:val="0"/>
        <w:keepLines w:val="0"/>
        <w:pageBreakBefore w:val="0"/>
        <w:widowControl w:val="0"/>
        <w:kinsoku/>
        <w:overflowPunct/>
        <w:topLinePunct w:val="0"/>
        <w:autoSpaceDE/>
        <w:autoSpaceDN/>
        <w:bidi w:val="0"/>
        <w:spacing w:line="580" w:lineRule="exact"/>
        <w:textAlignment w:val="auto"/>
        <w:rPr>
          <w:rFonts w:hint="eastAsia"/>
        </w:rPr>
      </w:pPr>
    </w:p>
    <w:p>
      <w:pPr>
        <w:keepNext w:val="0"/>
        <w:keepLines w:val="0"/>
        <w:pageBreakBefore w:val="0"/>
        <w:widowControl w:val="0"/>
        <w:kinsoku/>
        <w:overflowPunct/>
        <w:topLinePunct w:val="0"/>
        <w:autoSpaceDE/>
        <w:autoSpaceDN/>
        <w:bidi w:val="0"/>
        <w:spacing w:line="580" w:lineRule="exact"/>
        <w:textAlignment w:val="auto"/>
        <w:rPr>
          <w:rFonts w:hint="eastAsia"/>
        </w:rPr>
      </w:pPr>
    </w:p>
    <w:p>
      <w:pPr>
        <w:keepNext w:val="0"/>
        <w:keepLines w:val="0"/>
        <w:pageBreakBefore w:val="0"/>
        <w:widowControl w:val="0"/>
        <w:kinsoku/>
        <w:overflowPunct/>
        <w:topLinePunct w:val="0"/>
        <w:autoSpaceDE/>
        <w:autoSpaceDN/>
        <w:bidi w:val="0"/>
        <w:spacing w:line="580" w:lineRule="exact"/>
        <w:textAlignment w:val="auto"/>
        <w:rPr>
          <w:rFonts w:hint="eastAsia"/>
        </w:rPr>
      </w:pPr>
    </w:p>
    <w:p>
      <w:pPr>
        <w:keepNext w:val="0"/>
        <w:keepLines w:val="0"/>
        <w:pageBreakBefore w:val="0"/>
        <w:widowControl w:val="0"/>
        <w:kinsoku/>
        <w:overflowPunct/>
        <w:topLinePunct w:val="0"/>
        <w:autoSpaceDE/>
        <w:autoSpaceDN/>
        <w:bidi w:val="0"/>
        <w:spacing w:line="580" w:lineRule="exact"/>
        <w:textAlignment w:val="auto"/>
        <w:rPr>
          <w:rFonts w:hint="eastAsia"/>
        </w:rPr>
      </w:pPr>
    </w:p>
    <w:p>
      <w:pPr>
        <w:keepNext w:val="0"/>
        <w:keepLines w:val="0"/>
        <w:pageBreakBefore w:val="0"/>
        <w:widowControl w:val="0"/>
        <w:kinsoku/>
        <w:overflowPunct/>
        <w:topLinePunct w:val="0"/>
        <w:autoSpaceDE/>
        <w:autoSpaceDN/>
        <w:bidi w:val="0"/>
        <w:spacing w:line="580" w:lineRule="exact"/>
        <w:textAlignment w:val="auto"/>
        <w:rPr>
          <w:rFonts w:hint="eastAsia"/>
        </w:rPr>
      </w:pPr>
    </w:p>
    <w:p>
      <w:pPr>
        <w:keepNext w:val="0"/>
        <w:keepLines w:val="0"/>
        <w:pageBreakBefore w:val="0"/>
        <w:widowControl w:val="0"/>
        <w:kinsoku/>
        <w:overflowPunct/>
        <w:topLinePunct w:val="0"/>
        <w:autoSpaceDE/>
        <w:autoSpaceDN/>
        <w:bidi w:val="0"/>
        <w:spacing w:line="580" w:lineRule="exact"/>
        <w:textAlignment w:val="auto"/>
        <w:rPr>
          <w:rFonts w:hint="eastAsia"/>
        </w:rPr>
      </w:pPr>
    </w:p>
    <w:tbl>
      <w:tblPr>
        <w:tblStyle w:val="9"/>
        <w:tblW w:w="8967"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40" w:lineRule="exact"/>
              <w:ind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spacing w:line="440" w:lineRule="exact"/>
              <w:ind w:firstLine="1148" w:firstLineChars="410"/>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4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7" w:type="dxa"/>
            <w:noWrap w:val="0"/>
            <w:vAlign w:val="top"/>
          </w:tcPr>
          <w:p>
            <w:pPr>
              <w:keepNext w:val="0"/>
              <w:keepLines w:val="0"/>
              <w:pageBreakBefore w:val="0"/>
              <w:widowControl w:val="0"/>
              <w:kinsoku/>
              <w:overflowPunct/>
              <w:topLinePunct w:val="0"/>
              <w:autoSpaceDE/>
              <w:autoSpaceDN/>
              <w:bidi w:val="0"/>
              <w:spacing w:line="580" w:lineRule="exact"/>
              <w:ind w:firstLine="280" w:firstLine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4</w:t>
            </w:r>
            <w:r>
              <w:rPr>
                <w:rFonts w:hint="eastAsia" w:ascii="仿宋_GB2312" w:eastAsia="仿宋_GB2312"/>
                <w:sz w:val="28"/>
              </w:rPr>
              <w:t>月</w:t>
            </w:r>
            <w:r>
              <w:rPr>
                <w:rFonts w:hint="eastAsia" w:ascii="仿宋_GB2312" w:eastAsia="仿宋_GB2312"/>
                <w:sz w:val="28"/>
                <w:lang w:val="en-US" w:eastAsia="zh-CN"/>
              </w:rPr>
              <w:t>20</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07F"/>
    <w:rsid w:val="0000053B"/>
    <w:rsid w:val="00000BC8"/>
    <w:rsid w:val="00000D35"/>
    <w:rsid w:val="00000E8A"/>
    <w:rsid w:val="00001A5E"/>
    <w:rsid w:val="00005E5B"/>
    <w:rsid w:val="0001025F"/>
    <w:rsid w:val="00010E72"/>
    <w:rsid w:val="00010FBD"/>
    <w:rsid w:val="000134B5"/>
    <w:rsid w:val="0001572E"/>
    <w:rsid w:val="0001671F"/>
    <w:rsid w:val="0001751F"/>
    <w:rsid w:val="00017973"/>
    <w:rsid w:val="00017C56"/>
    <w:rsid w:val="00017C8E"/>
    <w:rsid w:val="00021290"/>
    <w:rsid w:val="000228A4"/>
    <w:rsid w:val="00023483"/>
    <w:rsid w:val="00024FC9"/>
    <w:rsid w:val="00025291"/>
    <w:rsid w:val="0003004C"/>
    <w:rsid w:val="000305B6"/>
    <w:rsid w:val="00030DB7"/>
    <w:rsid w:val="00031020"/>
    <w:rsid w:val="00035FA2"/>
    <w:rsid w:val="00036CC9"/>
    <w:rsid w:val="00037A1D"/>
    <w:rsid w:val="0004119F"/>
    <w:rsid w:val="00041495"/>
    <w:rsid w:val="00043109"/>
    <w:rsid w:val="00043BA4"/>
    <w:rsid w:val="00045126"/>
    <w:rsid w:val="00047737"/>
    <w:rsid w:val="0005120B"/>
    <w:rsid w:val="00053149"/>
    <w:rsid w:val="00055C21"/>
    <w:rsid w:val="00056556"/>
    <w:rsid w:val="00060597"/>
    <w:rsid w:val="00060AB1"/>
    <w:rsid w:val="00060CE0"/>
    <w:rsid w:val="000615CF"/>
    <w:rsid w:val="0006347A"/>
    <w:rsid w:val="000670A6"/>
    <w:rsid w:val="000671EE"/>
    <w:rsid w:val="00067943"/>
    <w:rsid w:val="00070196"/>
    <w:rsid w:val="000701C3"/>
    <w:rsid w:val="00071DE3"/>
    <w:rsid w:val="00071E83"/>
    <w:rsid w:val="00072DE0"/>
    <w:rsid w:val="0007324B"/>
    <w:rsid w:val="00074623"/>
    <w:rsid w:val="00076C0D"/>
    <w:rsid w:val="00076F96"/>
    <w:rsid w:val="00082970"/>
    <w:rsid w:val="0008397E"/>
    <w:rsid w:val="000904CD"/>
    <w:rsid w:val="00090E87"/>
    <w:rsid w:val="00090EB2"/>
    <w:rsid w:val="00092DC2"/>
    <w:rsid w:val="00094011"/>
    <w:rsid w:val="00097E64"/>
    <w:rsid w:val="000A1E68"/>
    <w:rsid w:val="000A2307"/>
    <w:rsid w:val="000A26F8"/>
    <w:rsid w:val="000A3DA4"/>
    <w:rsid w:val="000A51DB"/>
    <w:rsid w:val="000A7F88"/>
    <w:rsid w:val="000B0241"/>
    <w:rsid w:val="000B182B"/>
    <w:rsid w:val="000B2C2B"/>
    <w:rsid w:val="000B318D"/>
    <w:rsid w:val="000B39A6"/>
    <w:rsid w:val="000B483E"/>
    <w:rsid w:val="000B69D7"/>
    <w:rsid w:val="000B76CD"/>
    <w:rsid w:val="000B7F03"/>
    <w:rsid w:val="000C27E7"/>
    <w:rsid w:val="000C3E48"/>
    <w:rsid w:val="000C3F96"/>
    <w:rsid w:val="000C5FD0"/>
    <w:rsid w:val="000D1918"/>
    <w:rsid w:val="000D2276"/>
    <w:rsid w:val="000D3241"/>
    <w:rsid w:val="000D46E6"/>
    <w:rsid w:val="000D4B7C"/>
    <w:rsid w:val="000D5DB8"/>
    <w:rsid w:val="000D5EBF"/>
    <w:rsid w:val="000E189F"/>
    <w:rsid w:val="000E242A"/>
    <w:rsid w:val="000E2DE0"/>
    <w:rsid w:val="000E4A4D"/>
    <w:rsid w:val="000E5531"/>
    <w:rsid w:val="000E6931"/>
    <w:rsid w:val="000F0166"/>
    <w:rsid w:val="000F1AFD"/>
    <w:rsid w:val="000F1D11"/>
    <w:rsid w:val="000F280A"/>
    <w:rsid w:val="000F3390"/>
    <w:rsid w:val="000F3786"/>
    <w:rsid w:val="000F3C60"/>
    <w:rsid w:val="000F7473"/>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132C"/>
    <w:rsid w:val="00142107"/>
    <w:rsid w:val="00143A36"/>
    <w:rsid w:val="00145C0B"/>
    <w:rsid w:val="00145D2E"/>
    <w:rsid w:val="00146D53"/>
    <w:rsid w:val="00147907"/>
    <w:rsid w:val="00151C4B"/>
    <w:rsid w:val="00151F28"/>
    <w:rsid w:val="00153017"/>
    <w:rsid w:val="00155A0E"/>
    <w:rsid w:val="001602EE"/>
    <w:rsid w:val="001608F4"/>
    <w:rsid w:val="00161081"/>
    <w:rsid w:val="00162F0D"/>
    <w:rsid w:val="0016554C"/>
    <w:rsid w:val="00166461"/>
    <w:rsid w:val="0016715A"/>
    <w:rsid w:val="001679C2"/>
    <w:rsid w:val="00170824"/>
    <w:rsid w:val="0017273F"/>
    <w:rsid w:val="00172ABF"/>
    <w:rsid w:val="00173AA9"/>
    <w:rsid w:val="0017466B"/>
    <w:rsid w:val="00177B68"/>
    <w:rsid w:val="00180CF8"/>
    <w:rsid w:val="00182DBF"/>
    <w:rsid w:val="00183AA6"/>
    <w:rsid w:val="001844AF"/>
    <w:rsid w:val="00184638"/>
    <w:rsid w:val="00187037"/>
    <w:rsid w:val="001919EB"/>
    <w:rsid w:val="00194319"/>
    <w:rsid w:val="001948D4"/>
    <w:rsid w:val="00197198"/>
    <w:rsid w:val="001A0A30"/>
    <w:rsid w:val="001A102B"/>
    <w:rsid w:val="001A19B7"/>
    <w:rsid w:val="001A2BD2"/>
    <w:rsid w:val="001A3639"/>
    <w:rsid w:val="001A72B0"/>
    <w:rsid w:val="001B2E25"/>
    <w:rsid w:val="001B36FF"/>
    <w:rsid w:val="001B6A85"/>
    <w:rsid w:val="001C21AB"/>
    <w:rsid w:val="001C23C9"/>
    <w:rsid w:val="001C291D"/>
    <w:rsid w:val="001C2E2C"/>
    <w:rsid w:val="001C2FB0"/>
    <w:rsid w:val="001C3230"/>
    <w:rsid w:val="001C4131"/>
    <w:rsid w:val="001C472D"/>
    <w:rsid w:val="001D0ADB"/>
    <w:rsid w:val="001D2A39"/>
    <w:rsid w:val="001D2DD6"/>
    <w:rsid w:val="001D2EC2"/>
    <w:rsid w:val="001D3381"/>
    <w:rsid w:val="001D38D9"/>
    <w:rsid w:val="001D42FD"/>
    <w:rsid w:val="001D4C72"/>
    <w:rsid w:val="001D50C7"/>
    <w:rsid w:val="001D62F3"/>
    <w:rsid w:val="001E1712"/>
    <w:rsid w:val="001E26EE"/>
    <w:rsid w:val="001E3AE1"/>
    <w:rsid w:val="001E4564"/>
    <w:rsid w:val="001E463E"/>
    <w:rsid w:val="001E48FC"/>
    <w:rsid w:val="001E51E8"/>
    <w:rsid w:val="001E5A4A"/>
    <w:rsid w:val="001F077E"/>
    <w:rsid w:val="001F0DCC"/>
    <w:rsid w:val="001F275C"/>
    <w:rsid w:val="001F416C"/>
    <w:rsid w:val="001F4B62"/>
    <w:rsid w:val="001F53DE"/>
    <w:rsid w:val="001F5622"/>
    <w:rsid w:val="002014F1"/>
    <w:rsid w:val="002016DC"/>
    <w:rsid w:val="00202305"/>
    <w:rsid w:val="002037DD"/>
    <w:rsid w:val="00203FE2"/>
    <w:rsid w:val="00205C6F"/>
    <w:rsid w:val="002112BA"/>
    <w:rsid w:val="00211B40"/>
    <w:rsid w:val="0021430F"/>
    <w:rsid w:val="0022010B"/>
    <w:rsid w:val="00222BA6"/>
    <w:rsid w:val="00222BE8"/>
    <w:rsid w:val="002238F7"/>
    <w:rsid w:val="00225BC5"/>
    <w:rsid w:val="00226765"/>
    <w:rsid w:val="002301CC"/>
    <w:rsid w:val="00230394"/>
    <w:rsid w:val="00230DF7"/>
    <w:rsid w:val="00233CA4"/>
    <w:rsid w:val="0023425C"/>
    <w:rsid w:val="00235887"/>
    <w:rsid w:val="00237D8D"/>
    <w:rsid w:val="00241077"/>
    <w:rsid w:val="00243573"/>
    <w:rsid w:val="002438BD"/>
    <w:rsid w:val="00244F58"/>
    <w:rsid w:val="002502FA"/>
    <w:rsid w:val="002508F6"/>
    <w:rsid w:val="00253497"/>
    <w:rsid w:val="00253505"/>
    <w:rsid w:val="002537D8"/>
    <w:rsid w:val="00253D8D"/>
    <w:rsid w:val="00254C91"/>
    <w:rsid w:val="0026009A"/>
    <w:rsid w:val="00260B18"/>
    <w:rsid w:val="00261C1B"/>
    <w:rsid w:val="002639B1"/>
    <w:rsid w:val="00263BB4"/>
    <w:rsid w:val="00264B5A"/>
    <w:rsid w:val="00264C8D"/>
    <w:rsid w:val="00265F33"/>
    <w:rsid w:val="002701FE"/>
    <w:rsid w:val="00271599"/>
    <w:rsid w:val="002750B4"/>
    <w:rsid w:val="002755E6"/>
    <w:rsid w:val="00277086"/>
    <w:rsid w:val="0027732C"/>
    <w:rsid w:val="00284880"/>
    <w:rsid w:val="00286092"/>
    <w:rsid w:val="00290135"/>
    <w:rsid w:val="00294F4F"/>
    <w:rsid w:val="0029606D"/>
    <w:rsid w:val="002973C7"/>
    <w:rsid w:val="002A050D"/>
    <w:rsid w:val="002A0CAD"/>
    <w:rsid w:val="002A32E1"/>
    <w:rsid w:val="002A3E00"/>
    <w:rsid w:val="002A5246"/>
    <w:rsid w:val="002A530A"/>
    <w:rsid w:val="002A64B4"/>
    <w:rsid w:val="002A67EB"/>
    <w:rsid w:val="002A7BF8"/>
    <w:rsid w:val="002A7DBA"/>
    <w:rsid w:val="002B0F91"/>
    <w:rsid w:val="002B4292"/>
    <w:rsid w:val="002B45B4"/>
    <w:rsid w:val="002B4C83"/>
    <w:rsid w:val="002C0358"/>
    <w:rsid w:val="002C043B"/>
    <w:rsid w:val="002C048B"/>
    <w:rsid w:val="002C1222"/>
    <w:rsid w:val="002C2F22"/>
    <w:rsid w:val="002C409D"/>
    <w:rsid w:val="002C41C0"/>
    <w:rsid w:val="002C4FC3"/>
    <w:rsid w:val="002C5B09"/>
    <w:rsid w:val="002D063C"/>
    <w:rsid w:val="002D1BB1"/>
    <w:rsid w:val="002D2CF6"/>
    <w:rsid w:val="002D31DC"/>
    <w:rsid w:val="002D3F3C"/>
    <w:rsid w:val="002D4032"/>
    <w:rsid w:val="002D5A5E"/>
    <w:rsid w:val="002D7462"/>
    <w:rsid w:val="002E0919"/>
    <w:rsid w:val="002E0CE2"/>
    <w:rsid w:val="002E2F22"/>
    <w:rsid w:val="002E3CC3"/>
    <w:rsid w:val="002F5BA9"/>
    <w:rsid w:val="00301AC3"/>
    <w:rsid w:val="00301DC1"/>
    <w:rsid w:val="00302690"/>
    <w:rsid w:val="00302982"/>
    <w:rsid w:val="00303418"/>
    <w:rsid w:val="0030372C"/>
    <w:rsid w:val="00316104"/>
    <w:rsid w:val="00317237"/>
    <w:rsid w:val="00321960"/>
    <w:rsid w:val="00321A0B"/>
    <w:rsid w:val="00322E30"/>
    <w:rsid w:val="00324C04"/>
    <w:rsid w:val="00331E6A"/>
    <w:rsid w:val="003340DF"/>
    <w:rsid w:val="00334343"/>
    <w:rsid w:val="003347A0"/>
    <w:rsid w:val="00334E79"/>
    <w:rsid w:val="00336F88"/>
    <w:rsid w:val="00340D61"/>
    <w:rsid w:val="00340FF0"/>
    <w:rsid w:val="00341A6E"/>
    <w:rsid w:val="00342CC3"/>
    <w:rsid w:val="00343E0C"/>
    <w:rsid w:val="00344725"/>
    <w:rsid w:val="00344900"/>
    <w:rsid w:val="00344DA3"/>
    <w:rsid w:val="00350F9A"/>
    <w:rsid w:val="00351987"/>
    <w:rsid w:val="00351F4C"/>
    <w:rsid w:val="00352A64"/>
    <w:rsid w:val="0035334E"/>
    <w:rsid w:val="00353788"/>
    <w:rsid w:val="0035441B"/>
    <w:rsid w:val="003557E4"/>
    <w:rsid w:val="00361A29"/>
    <w:rsid w:val="0036715B"/>
    <w:rsid w:val="00367492"/>
    <w:rsid w:val="00367E4A"/>
    <w:rsid w:val="00371465"/>
    <w:rsid w:val="0037414E"/>
    <w:rsid w:val="0037427E"/>
    <w:rsid w:val="00375606"/>
    <w:rsid w:val="00381A7A"/>
    <w:rsid w:val="00382D0B"/>
    <w:rsid w:val="00385438"/>
    <w:rsid w:val="00386B54"/>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A6C8F"/>
    <w:rsid w:val="003B1AA3"/>
    <w:rsid w:val="003B2F1A"/>
    <w:rsid w:val="003B32B0"/>
    <w:rsid w:val="003B37A3"/>
    <w:rsid w:val="003B59D9"/>
    <w:rsid w:val="003C1EB9"/>
    <w:rsid w:val="003C3249"/>
    <w:rsid w:val="003C3EA0"/>
    <w:rsid w:val="003C419C"/>
    <w:rsid w:val="003C41EC"/>
    <w:rsid w:val="003C4942"/>
    <w:rsid w:val="003D01EF"/>
    <w:rsid w:val="003D14CC"/>
    <w:rsid w:val="003D3B34"/>
    <w:rsid w:val="003D46AE"/>
    <w:rsid w:val="003D6A97"/>
    <w:rsid w:val="003E323B"/>
    <w:rsid w:val="003E39D4"/>
    <w:rsid w:val="003E549A"/>
    <w:rsid w:val="003E5A89"/>
    <w:rsid w:val="003F0B67"/>
    <w:rsid w:val="003F1F24"/>
    <w:rsid w:val="003F595E"/>
    <w:rsid w:val="003F6574"/>
    <w:rsid w:val="003F67CC"/>
    <w:rsid w:val="003F6E09"/>
    <w:rsid w:val="003F728E"/>
    <w:rsid w:val="00402EDB"/>
    <w:rsid w:val="00404975"/>
    <w:rsid w:val="004100FD"/>
    <w:rsid w:val="004113AB"/>
    <w:rsid w:val="0041232A"/>
    <w:rsid w:val="004125FC"/>
    <w:rsid w:val="00412AD9"/>
    <w:rsid w:val="00415492"/>
    <w:rsid w:val="004157DD"/>
    <w:rsid w:val="004178C8"/>
    <w:rsid w:val="00423C35"/>
    <w:rsid w:val="004249E2"/>
    <w:rsid w:val="004278D4"/>
    <w:rsid w:val="00430D45"/>
    <w:rsid w:val="004312C3"/>
    <w:rsid w:val="00431DA3"/>
    <w:rsid w:val="00432A0C"/>
    <w:rsid w:val="00433DE5"/>
    <w:rsid w:val="004350B7"/>
    <w:rsid w:val="00437A54"/>
    <w:rsid w:val="00442031"/>
    <w:rsid w:val="004438FF"/>
    <w:rsid w:val="004443C8"/>
    <w:rsid w:val="0044481F"/>
    <w:rsid w:val="004454F7"/>
    <w:rsid w:val="00450079"/>
    <w:rsid w:val="004504E7"/>
    <w:rsid w:val="0045373C"/>
    <w:rsid w:val="00453C0B"/>
    <w:rsid w:val="00453D42"/>
    <w:rsid w:val="00456071"/>
    <w:rsid w:val="00456737"/>
    <w:rsid w:val="00456A72"/>
    <w:rsid w:val="00456A79"/>
    <w:rsid w:val="00461EDE"/>
    <w:rsid w:val="004638A8"/>
    <w:rsid w:val="0046479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03F8"/>
    <w:rsid w:val="004A1014"/>
    <w:rsid w:val="004A135E"/>
    <w:rsid w:val="004A373F"/>
    <w:rsid w:val="004A464E"/>
    <w:rsid w:val="004A4859"/>
    <w:rsid w:val="004B014B"/>
    <w:rsid w:val="004B0832"/>
    <w:rsid w:val="004B0AC8"/>
    <w:rsid w:val="004B1D23"/>
    <w:rsid w:val="004B5CC9"/>
    <w:rsid w:val="004B72BC"/>
    <w:rsid w:val="004C0FC4"/>
    <w:rsid w:val="004C1246"/>
    <w:rsid w:val="004C1EC2"/>
    <w:rsid w:val="004C4F15"/>
    <w:rsid w:val="004C61B8"/>
    <w:rsid w:val="004C7700"/>
    <w:rsid w:val="004D028D"/>
    <w:rsid w:val="004D3387"/>
    <w:rsid w:val="004D3D71"/>
    <w:rsid w:val="004D4E8D"/>
    <w:rsid w:val="004D4FBD"/>
    <w:rsid w:val="004E1031"/>
    <w:rsid w:val="004E16F4"/>
    <w:rsid w:val="004E2788"/>
    <w:rsid w:val="004E28A4"/>
    <w:rsid w:val="004E3E2A"/>
    <w:rsid w:val="004E441F"/>
    <w:rsid w:val="004E5A0E"/>
    <w:rsid w:val="004F0E59"/>
    <w:rsid w:val="004F1A93"/>
    <w:rsid w:val="004F27DA"/>
    <w:rsid w:val="004F29A2"/>
    <w:rsid w:val="004F2EAE"/>
    <w:rsid w:val="004F2FDA"/>
    <w:rsid w:val="004F49DE"/>
    <w:rsid w:val="004F4C83"/>
    <w:rsid w:val="004F564A"/>
    <w:rsid w:val="004F6088"/>
    <w:rsid w:val="005001F1"/>
    <w:rsid w:val="0050055F"/>
    <w:rsid w:val="00501A8E"/>
    <w:rsid w:val="00502983"/>
    <w:rsid w:val="005039AC"/>
    <w:rsid w:val="005045F2"/>
    <w:rsid w:val="00506C03"/>
    <w:rsid w:val="00506D05"/>
    <w:rsid w:val="0051102B"/>
    <w:rsid w:val="0051110B"/>
    <w:rsid w:val="00513E02"/>
    <w:rsid w:val="005141F0"/>
    <w:rsid w:val="00514727"/>
    <w:rsid w:val="0051691A"/>
    <w:rsid w:val="00516968"/>
    <w:rsid w:val="00521666"/>
    <w:rsid w:val="005216DB"/>
    <w:rsid w:val="00522169"/>
    <w:rsid w:val="00522BE1"/>
    <w:rsid w:val="005234B7"/>
    <w:rsid w:val="00525134"/>
    <w:rsid w:val="00527055"/>
    <w:rsid w:val="00527860"/>
    <w:rsid w:val="005302E8"/>
    <w:rsid w:val="0053216D"/>
    <w:rsid w:val="00534F33"/>
    <w:rsid w:val="0053642C"/>
    <w:rsid w:val="00537C60"/>
    <w:rsid w:val="005403BB"/>
    <w:rsid w:val="00540508"/>
    <w:rsid w:val="00541462"/>
    <w:rsid w:val="00545692"/>
    <w:rsid w:val="00547939"/>
    <w:rsid w:val="0055006E"/>
    <w:rsid w:val="005515FC"/>
    <w:rsid w:val="005516F8"/>
    <w:rsid w:val="005528A4"/>
    <w:rsid w:val="0055343F"/>
    <w:rsid w:val="005538B1"/>
    <w:rsid w:val="00556029"/>
    <w:rsid w:val="00556DEA"/>
    <w:rsid w:val="005570A3"/>
    <w:rsid w:val="00557BB6"/>
    <w:rsid w:val="005617E0"/>
    <w:rsid w:val="005618EC"/>
    <w:rsid w:val="005623D2"/>
    <w:rsid w:val="0056793D"/>
    <w:rsid w:val="00570476"/>
    <w:rsid w:val="00570671"/>
    <w:rsid w:val="00573920"/>
    <w:rsid w:val="00573DFF"/>
    <w:rsid w:val="005758B0"/>
    <w:rsid w:val="0057593B"/>
    <w:rsid w:val="005761DA"/>
    <w:rsid w:val="00576B9B"/>
    <w:rsid w:val="005775A5"/>
    <w:rsid w:val="00577A94"/>
    <w:rsid w:val="00577CD6"/>
    <w:rsid w:val="00581C4B"/>
    <w:rsid w:val="005820C9"/>
    <w:rsid w:val="00582F58"/>
    <w:rsid w:val="005847C1"/>
    <w:rsid w:val="0058623E"/>
    <w:rsid w:val="00586498"/>
    <w:rsid w:val="005871B2"/>
    <w:rsid w:val="005903E6"/>
    <w:rsid w:val="005906A6"/>
    <w:rsid w:val="00590E74"/>
    <w:rsid w:val="00592FCE"/>
    <w:rsid w:val="00593072"/>
    <w:rsid w:val="00593B63"/>
    <w:rsid w:val="00597CB6"/>
    <w:rsid w:val="005A1F8D"/>
    <w:rsid w:val="005A3130"/>
    <w:rsid w:val="005A6087"/>
    <w:rsid w:val="005A67BB"/>
    <w:rsid w:val="005A740E"/>
    <w:rsid w:val="005B0120"/>
    <w:rsid w:val="005B0BCC"/>
    <w:rsid w:val="005B2090"/>
    <w:rsid w:val="005B2A3B"/>
    <w:rsid w:val="005B2A9E"/>
    <w:rsid w:val="005B2AFE"/>
    <w:rsid w:val="005B39F8"/>
    <w:rsid w:val="005B3F4F"/>
    <w:rsid w:val="005B6478"/>
    <w:rsid w:val="005B6964"/>
    <w:rsid w:val="005C1545"/>
    <w:rsid w:val="005C2B4E"/>
    <w:rsid w:val="005C5E3B"/>
    <w:rsid w:val="005C663F"/>
    <w:rsid w:val="005C79E2"/>
    <w:rsid w:val="005D07B3"/>
    <w:rsid w:val="005D09A8"/>
    <w:rsid w:val="005D1611"/>
    <w:rsid w:val="005E0DCD"/>
    <w:rsid w:val="005E2650"/>
    <w:rsid w:val="005E5234"/>
    <w:rsid w:val="005E7F3F"/>
    <w:rsid w:val="005F38E6"/>
    <w:rsid w:val="005F6CAA"/>
    <w:rsid w:val="00602DE5"/>
    <w:rsid w:val="0060451F"/>
    <w:rsid w:val="006049B5"/>
    <w:rsid w:val="00605221"/>
    <w:rsid w:val="006054BF"/>
    <w:rsid w:val="0060556C"/>
    <w:rsid w:val="00605FB9"/>
    <w:rsid w:val="006077DA"/>
    <w:rsid w:val="00613495"/>
    <w:rsid w:val="006138A9"/>
    <w:rsid w:val="00613B21"/>
    <w:rsid w:val="00613CA6"/>
    <w:rsid w:val="00616699"/>
    <w:rsid w:val="00621253"/>
    <w:rsid w:val="006217C9"/>
    <w:rsid w:val="006217CD"/>
    <w:rsid w:val="00621A73"/>
    <w:rsid w:val="00622118"/>
    <w:rsid w:val="00622A7A"/>
    <w:rsid w:val="00623F3E"/>
    <w:rsid w:val="00626C25"/>
    <w:rsid w:val="00627CC6"/>
    <w:rsid w:val="00630C71"/>
    <w:rsid w:val="00630C8F"/>
    <w:rsid w:val="00632581"/>
    <w:rsid w:val="0063404D"/>
    <w:rsid w:val="00637C57"/>
    <w:rsid w:val="00640710"/>
    <w:rsid w:val="00642967"/>
    <w:rsid w:val="00643C82"/>
    <w:rsid w:val="0064438D"/>
    <w:rsid w:val="00655583"/>
    <w:rsid w:val="00657A43"/>
    <w:rsid w:val="00660860"/>
    <w:rsid w:val="00660BC7"/>
    <w:rsid w:val="0066177F"/>
    <w:rsid w:val="00661FD1"/>
    <w:rsid w:val="006631A6"/>
    <w:rsid w:val="006635EA"/>
    <w:rsid w:val="0066581C"/>
    <w:rsid w:val="00670F37"/>
    <w:rsid w:val="00674510"/>
    <w:rsid w:val="0067548C"/>
    <w:rsid w:val="006765AF"/>
    <w:rsid w:val="006768FB"/>
    <w:rsid w:val="0068029A"/>
    <w:rsid w:val="00683CA6"/>
    <w:rsid w:val="00684358"/>
    <w:rsid w:val="00686D4F"/>
    <w:rsid w:val="00687BC5"/>
    <w:rsid w:val="00691763"/>
    <w:rsid w:val="0069233D"/>
    <w:rsid w:val="00696743"/>
    <w:rsid w:val="006979BA"/>
    <w:rsid w:val="006A28D5"/>
    <w:rsid w:val="006A3076"/>
    <w:rsid w:val="006A3B57"/>
    <w:rsid w:val="006A4BE5"/>
    <w:rsid w:val="006A55AD"/>
    <w:rsid w:val="006A65EF"/>
    <w:rsid w:val="006B6D26"/>
    <w:rsid w:val="006C31CA"/>
    <w:rsid w:val="006C31F2"/>
    <w:rsid w:val="006C492D"/>
    <w:rsid w:val="006C5483"/>
    <w:rsid w:val="006C5FD9"/>
    <w:rsid w:val="006C6369"/>
    <w:rsid w:val="006D2826"/>
    <w:rsid w:val="006D44DF"/>
    <w:rsid w:val="006D582C"/>
    <w:rsid w:val="006D5C2D"/>
    <w:rsid w:val="006D5DA7"/>
    <w:rsid w:val="006D6106"/>
    <w:rsid w:val="006E16EF"/>
    <w:rsid w:val="006E24B9"/>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6E1B"/>
    <w:rsid w:val="00707093"/>
    <w:rsid w:val="00707748"/>
    <w:rsid w:val="00707A12"/>
    <w:rsid w:val="007103AB"/>
    <w:rsid w:val="007107BA"/>
    <w:rsid w:val="00710CE7"/>
    <w:rsid w:val="007121E9"/>
    <w:rsid w:val="007227D3"/>
    <w:rsid w:val="00722E49"/>
    <w:rsid w:val="00725351"/>
    <w:rsid w:val="00730BED"/>
    <w:rsid w:val="007327B6"/>
    <w:rsid w:val="00733A2F"/>
    <w:rsid w:val="00737112"/>
    <w:rsid w:val="007375F9"/>
    <w:rsid w:val="007377CC"/>
    <w:rsid w:val="007418CF"/>
    <w:rsid w:val="007443AD"/>
    <w:rsid w:val="00745BA7"/>
    <w:rsid w:val="00745BBC"/>
    <w:rsid w:val="00745F2F"/>
    <w:rsid w:val="007469D2"/>
    <w:rsid w:val="0075198B"/>
    <w:rsid w:val="007543DE"/>
    <w:rsid w:val="00754F35"/>
    <w:rsid w:val="007566F0"/>
    <w:rsid w:val="00760780"/>
    <w:rsid w:val="0076205A"/>
    <w:rsid w:val="00763624"/>
    <w:rsid w:val="0076441E"/>
    <w:rsid w:val="0076657F"/>
    <w:rsid w:val="0077428C"/>
    <w:rsid w:val="00774B22"/>
    <w:rsid w:val="00775A48"/>
    <w:rsid w:val="0077794B"/>
    <w:rsid w:val="00777A09"/>
    <w:rsid w:val="007837F3"/>
    <w:rsid w:val="00784FB2"/>
    <w:rsid w:val="007904A7"/>
    <w:rsid w:val="00791600"/>
    <w:rsid w:val="00794C4E"/>
    <w:rsid w:val="007963A2"/>
    <w:rsid w:val="00797B8D"/>
    <w:rsid w:val="007A4B6C"/>
    <w:rsid w:val="007A56B3"/>
    <w:rsid w:val="007A6F05"/>
    <w:rsid w:val="007B097B"/>
    <w:rsid w:val="007B3A45"/>
    <w:rsid w:val="007B6642"/>
    <w:rsid w:val="007C5CDC"/>
    <w:rsid w:val="007C6DEF"/>
    <w:rsid w:val="007C7C36"/>
    <w:rsid w:val="007D07B1"/>
    <w:rsid w:val="007D1C46"/>
    <w:rsid w:val="007D340E"/>
    <w:rsid w:val="007D582A"/>
    <w:rsid w:val="007D5A8A"/>
    <w:rsid w:val="007D62CA"/>
    <w:rsid w:val="007D66C2"/>
    <w:rsid w:val="007D765B"/>
    <w:rsid w:val="007E0BFD"/>
    <w:rsid w:val="007E158B"/>
    <w:rsid w:val="007E20CA"/>
    <w:rsid w:val="007F042D"/>
    <w:rsid w:val="007F0737"/>
    <w:rsid w:val="007F0940"/>
    <w:rsid w:val="007F19AC"/>
    <w:rsid w:val="007F1E62"/>
    <w:rsid w:val="007F235B"/>
    <w:rsid w:val="007F24F6"/>
    <w:rsid w:val="007F2A0D"/>
    <w:rsid w:val="007F2A7E"/>
    <w:rsid w:val="007F4FCB"/>
    <w:rsid w:val="007F552B"/>
    <w:rsid w:val="007F63EC"/>
    <w:rsid w:val="00800C47"/>
    <w:rsid w:val="00803F1B"/>
    <w:rsid w:val="008056A7"/>
    <w:rsid w:val="00805852"/>
    <w:rsid w:val="00805B22"/>
    <w:rsid w:val="00810805"/>
    <w:rsid w:val="00810F55"/>
    <w:rsid w:val="00811A91"/>
    <w:rsid w:val="00814958"/>
    <w:rsid w:val="008149CF"/>
    <w:rsid w:val="00814F7A"/>
    <w:rsid w:val="00816CA5"/>
    <w:rsid w:val="00817FC3"/>
    <w:rsid w:val="00822B59"/>
    <w:rsid w:val="00823E54"/>
    <w:rsid w:val="00824A4E"/>
    <w:rsid w:val="008254E7"/>
    <w:rsid w:val="0083477F"/>
    <w:rsid w:val="00836AA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610"/>
    <w:rsid w:val="00872A55"/>
    <w:rsid w:val="00873542"/>
    <w:rsid w:val="00880647"/>
    <w:rsid w:val="00880C71"/>
    <w:rsid w:val="0088117B"/>
    <w:rsid w:val="00882531"/>
    <w:rsid w:val="0088714E"/>
    <w:rsid w:val="00887FA5"/>
    <w:rsid w:val="00891947"/>
    <w:rsid w:val="008926B7"/>
    <w:rsid w:val="008953AC"/>
    <w:rsid w:val="0089561E"/>
    <w:rsid w:val="008A0590"/>
    <w:rsid w:val="008B063A"/>
    <w:rsid w:val="008B066F"/>
    <w:rsid w:val="008B2878"/>
    <w:rsid w:val="008B2A80"/>
    <w:rsid w:val="008B387C"/>
    <w:rsid w:val="008B4122"/>
    <w:rsid w:val="008B534E"/>
    <w:rsid w:val="008B536E"/>
    <w:rsid w:val="008B5F79"/>
    <w:rsid w:val="008B61CE"/>
    <w:rsid w:val="008C0F2F"/>
    <w:rsid w:val="008C2242"/>
    <w:rsid w:val="008C2F45"/>
    <w:rsid w:val="008C2FFC"/>
    <w:rsid w:val="008C3D85"/>
    <w:rsid w:val="008D2512"/>
    <w:rsid w:val="008D3423"/>
    <w:rsid w:val="008D39C1"/>
    <w:rsid w:val="008D416F"/>
    <w:rsid w:val="008D6580"/>
    <w:rsid w:val="008E0B12"/>
    <w:rsid w:val="008E1E2A"/>
    <w:rsid w:val="008E277B"/>
    <w:rsid w:val="008E3748"/>
    <w:rsid w:val="008E45DE"/>
    <w:rsid w:val="008E4E6A"/>
    <w:rsid w:val="008E765D"/>
    <w:rsid w:val="008F51C8"/>
    <w:rsid w:val="008F733C"/>
    <w:rsid w:val="008F7FDF"/>
    <w:rsid w:val="00904292"/>
    <w:rsid w:val="00906B57"/>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0787"/>
    <w:rsid w:val="009413D6"/>
    <w:rsid w:val="009418C7"/>
    <w:rsid w:val="00942DC2"/>
    <w:rsid w:val="009433EF"/>
    <w:rsid w:val="00943770"/>
    <w:rsid w:val="00943F5F"/>
    <w:rsid w:val="0094465F"/>
    <w:rsid w:val="00947975"/>
    <w:rsid w:val="00955453"/>
    <w:rsid w:val="00956CA1"/>
    <w:rsid w:val="00957FC8"/>
    <w:rsid w:val="0096020A"/>
    <w:rsid w:val="00960DBD"/>
    <w:rsid w:val="00960E8B"/>
    <w:rsid w:val="009618C6"/>
    <w:rsid w:val="00962E0E"/>
    <w:rsid w:val="009647C8"/>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4572"/>
    <w:rsid w:val="00995057"/>
    <w:rsid w:val="00996D81"/>
    <w:rsid w:val="0099782D"/>
    <w:rsid w:val="00997D7A"/>
    <w:rsid w:val="009A323D"/>
    <w:rsid w:val="009A4D6E"/>
    <w:rsid w:val="009A54A9"/>
    <w:rsid w:val="009A7797"/>
    <w:rsid w:val="009B059B"/>
    <w:rsid w:val="009B0F62"/>
    <w:rsid w:val="009B4126"/>
    <w:rsid w:val="009B4573"/>
    <w:rsid w:val="009B5836"/>
    <w:rsid w:val="009B5ABF"/>
    <w:rsid w:val="009B6906"/>
    <w:rsid w:val="009B7AF2"/>
    <w:rsid w:val="009B7E26"/>
    <w:rsid w:val="009C0CFE"/>
    <w:rsid w:val="009C31A8"/>
    <w:rsid w:val="009C323E"/>
    <w:rsid w:val="009C3D15"/>
    <w:rsid w:val="009C7360"/>
    <w:rsid w:val="009D16DF"/>
    <w:rsid w:val="009D1830"/>
    <w:rsid w:val="009D1AC9"/>
    <w:rsid w:val="009D1B39"/>
    <w:rsid w:val="009D1DF7"/>
    <w:rsid w:val="009D3B7A"/>
    <w:rsid w:val="009D40FA"/>
    <w:rsid w:val="009D417C"/>
    <w:rsid w:val="009D455E"/>
    <w:rsid w:val="009E41F1"/>
    <w:rsid w:val="009E6447"/>
    <w:rsid w:val="009E6969"/>
    <w:rsid w:val="009E6E7C"/>
    <w:rsid w:val="009F13D4"/>
    <w:rsid w:val="009F14F1"/>
    <w:rsid w:val="009F1CFB"/>
    <w:rsid w:val="009F1DFF"/>
    <w:rsid w:val="009F35D0"/>
    <w:rsid w:val="009F3734"/>
    <w:rsid w:val="009F3B9B"/>
    <w:rsid w:val="009F5A1E"/>
    <w:rsid w:val="009F69BD"/>
    <w:rsid w:val="009F69DB"/>
    <w:rsid w:val="009F6E0B"/>
    <w:rsid w:val="00A00BAB"/>
    <w:rsid w:val="00A0130C"/>
    <w:rsid w:val="00A013CD"/>
    <w:rsid w:val="00A027F4"/>
    <w:rsid w:val="00A0337F"/>
    <w:rsid w:val="00A03F7B"/>
    <w:rsid w:val="00A055DB"/>
    <w:rsid w:val="00A0595F"/>
    <w:rsid w:val="00A069AA"/>
    <w:rsid w:val="00A12557"/>
    <w:rsid w:val="00A12B15"/>
    <w:rsid w:val="00A1338D"/>
    <w:rsid w:val="00A156FF"/>
    <w:rsid w:val="00A15728"/>
    <w:rsid w:val="00A15F73"/>
    <w:rsid w:val="00A1646A"/>
    <w:rsid w:val="00A1656C"/>
    <w:rsid w:val="00A17257"/>
    <w:rsid w:val="00A1771F"/>
    <w:rsid w:val="00A17737"/>
    <w:rsid w:val="00A206AD"/>
    <w:rsid w:val="00A21826"/>
    <w:rsid w:val="00A223A7"/>
    <w:rsid w:val="00A22CDE"/>
    <w:rsid w:val="00A22ED2"/>
    <w:rsid w:val="00A23026"/>
    <w:rsid w:val="00A23044"/>
    <w:rsid w:val="00A26DD8"/>
    <w:rsid w:val="00A3282B"/>
    <w:rsid w:val="00A32C4B"/>
    <w:rsid w:val="00A3667B"/>
    <w:rsid w:val="00A41CDE"/>
    <w:rsid w:val="00A42678"/>
    <w:rsid w:val="00A44782"/>
    <w:rsid w:val="00A51056"/>
    <w:rsid w:val="00A52ADA"/>
    <w:rsid w:val="00A54A96"/>
    <w:rsid w:val="00A54C2D"/>
    <w:rsid w:val="00A554A8"/>
    <w:rsid w:val="00A55F01"/>
    <w:rsid w:val="00A5779D"/>
    <w:rsid w:val="00A62053"/>
    <w:rsid w:val="00A66B95"/>
    <w:rsid w:val="00A6748A"/>
    <w:rsid w:val="00A67E61"/>
    <w:rsid w:val="00A746B2"/>
    <w:rsid w:val="00A74FC4"/>
    <w:rsid w:val="00A8034A"/>
    <w:rsid w:val="00A81344"/>
    <w:rsid w:val="00A8144C"/>
    <w:rsid w:val="00A82198"/>
    <w:rsid w:val="00A84A66"/>
    <w:rsid w:val="00A85729"/>
    <w:rsid w:val="00A869B9"/>
    <w:rsid w:val="00A871E1"/>
    <w:rsid w:val="00A872AA"/>
    <w:rsid w:val="00A87303"/>
    <w:rsid w:val="00A912A2"/>
    <w:rsid w:val="00A9171B"/>
    <w:rsid w:val="00A9213A"/>
    <w:rsid w:val="00A925C8"/>
    <w:rsid w:val="00A93C26"/>
    <w:rsid w:val="00A9486C"/>
    <w:rsid w:val="00A94FB8"/>
    <w:rsid w:val="00A96790"/>
    <w:rsid w:val="00AA07BD"/>
    <w:rsid w:val="00AA1845"/>
    <w:rsid w:val="00AA3212"/>
    <w:rsid w:val="00AA3545"/>
    <w:rsid w:val="00AA4BD1"/>
    <w:rsid w:val="00AA519E"/>
    <w:rsid w:val="00AB12B5"/>
    <w:rsid w:val="00AB27A7"/>
    <w:rsid w:val="00AB301E"/>
    <w:rsid w:val="00AB38D9"/>
    <w:rsid w:val="00AB7B42"/>
    <w:rsid w:val="00AB7DAC"/>
    <w:rsid w:val="00AC0499"/>
    <w:rsid w:val="00AC1974"/>
    <w:rsid w:val="00AC2132"/>
    <w:rsid w:val="00AC4D0F"/>
    <w:rsid w:val="00AC6193"/>
    <w:rsid w:val="00AC685E"/>
    <w:rsid w:val="00AD04B0"/>
    <w:rsid w:val="00AD0907"/>
    <w:rsid w:val="00AD1EDA"/>
    <w:rsid w:val="00AD29ED"/>
    <w:rsid w:val="00AD5212"/>
    <w:rsid w:val="00AD57D5"/>
    <w:rsid w:val="00AE14C5"/>
    <w:rsid w:val="00AE2046"/>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00D4"/>
    <w:rsid w:val="00B12051"/>
    <w:rsid w:val="00B1230C"/>
    <w:rsid w:val="00B1350C"/>
    <w:rsid w:val="00B13789"/>
    <w:rsid w:val="00B15B06"/>
    <w:rsid w:val="00B15D33"/>
    <w:rsid w:val="00B162C3"/>
    <w:rsid w:val="00B20056"/>
    <w:rsid w:val="00B21C5E"/>
    <w:rsid w:val="00B22EA7"/>
    <w:rsid w:val="00B246E2"/>
    <w:rsid w:val="00B269DB"/>
    <w:rsid w:val="00B332D7"/>
    <w:rsid w:val="00B3342A"/>
    <w:rsid w:val="00B35004"/>
    <w:rsid w:val="00B40DCF"/>
    <w:rsid w:val="00B410AB"/>
    <w:rsid w:val="00B41574"/>
    <w:rsid w:val="00B43C7B"/>
    <w:rsid w:val="00B43F6B"/>
    <w:rsid w:val="00B4489A"/>
    <w:rsid w:val="00B4656E"/>
    <w:rsid w:val="00B47AB4"/>
    <w:rsid w:val="00B509ED"/>
    <w:rsid w:val="00B5388B"/>
    <w:rsid w:val="00B54162"/>
    <w:rsid w:val="00B542D3"/>
    <w:rsid w:val="00B560B0"/>
    <w:rsid w:val="00B56A1E"/>
    <w:rsid w:val="00B57284"/>
    <w:rsid w:val="00B6035B"/>
    <w:rsid w:val="00B64E58"/>
    <w:rsid w:val="00B666ED"/>
    <w:rsid w:val="00B702A1"/>
    <w:rsid w:val="00B70DED"/>
    <w:rsid w:val="00B7317D"/>
    <w:rsid w:val="00B73533"/>
    <w:rsid w:val="00B73E35"/>
    <w:rsid w:val="00B76556"/>
    <w:rsid w:val="00B836D5"/>
    <w:rsid w:val="00B840AB"/>
    <w:rsid w:val="00B84FE0"/>
    <w:rsid w:val="00B86439"/>
    <w:rsid w:val="00B90C4D"/>
    <w:rsid w:val="00B92C79"/>
    <w:rsid w:val="00B952EB"/>
    <w:rsid w:val="00B96270"/>
    <w:rsid w:val="00B97305"/>
    <w:rsid w:val="00B97680"/>
    <w:rsid w:val="00BA069E"/>
    <w:rsid w:val="00BA0EAF"/>
    <w:rsid w:val="00BA12FD"/>
    <w:rsid w:val="00BA5DE0"/>
    <w:rsid w:val="00BA69BB"/>
    <w:rsid w:val="00BA7956"/>
    <w:rsid w:val="00BA7B67"/>
    <w:rsid w:val="00BB143A"/>
    <w:rsid w:val="00BB6AD1"/>
    <w:rsid w:val="00BB77ED"/>
    <w:rsid w:val="00BC07D9"/>
    <w:rsid w:val="00BC0C1E"/>
    <w:rsid w:val="00BC0F68"/>
    <w:rsid w:val="00BC5ACB"/>
    <w:rsid w:val="00BC70A0"/>
    <w:rsid w:val="00BD0A62"/>
    <w:rsid w:val="00BD0B0A"/>
    <w:rsid w:val="00BD0E73"/>
    <w:rsid w:val="00BD156F"/>
    <w:rsid w:val="00BD1AAA"/>
    <w:rsid w:val="00BD3403"/>
    <w:rsid w:val="00BD3778"/>
    <w:rsid w:val="00BD384E"/>
    <w:rsid w:val="00BD6CB8"/>
    <w:rsid w:val="00BD73A4"/>
    <w:rsid w:val="00BE03FB"/>
    <w:rsid w:val="00BE1A66"/>
    <w:rsid w:val="00BE25B8"/>
    <w:rsid w:val="00BE3394"/>
    <w:rsid w:val="00BE472B"/>
    <w:rsid w:val="00BE5150"/>
    <w:rsid w:val="00BE5638"/>
    <w:rsid w:val="00BF04ED"/>
    <w:rsid w:val="00BF0B72"/>
    <w:rsid w:val="00BF37DC"/>
    <w:rsid w:val="00BF3DC9"/>
    <w:rsid w:val="00BF60EE"/>
    <w:rsid w:val="00BF652F"/>
    <w:rsid w:val="00BF7550"/>
    <w:rsid w:val="00BF7D76"/>
    <w:rsid w:val="00C0138E"/>
    <w:rsid w:val="00C023A4"/>
    <w:rsid w:val="00C03B39"/>
    <w:rsid w:val="00C03DAB"/>
    <w:rsid w:val="00C0403E"/>
    <w:rsid w:val="00C0598B"/>
    <w:rsid w:val="00C05D5F"/>
    <w:rsid w:val="00C062CC"/>
    <w:rsid w:val="00C06C13"/>
    <w:rsid w:val="00C076E1"/>
    <w:rsid w:val="00C10609"/>
    <w:rsid w:val="00C10618"/>
    <w:rsid w:val="00C1296E"/>
    <w:rsid w:val="00C168B8"/>
    <w:rsid w:val="00C16B94"/>
    <w:rsid w:val="00C2004B"/>
    <w:rsid w:val="00C22AFA"/>
    <w:rsid w:val="00C24A34"/>
    <w:rsid w:val="00C275DE"/>
    <w:rsid w:val="00C344E7"/>
    <w:rsid w:val="00C34BD8"/>
    <w:rsid w:val="00C34C2B"/>
    <w:rsid w:val="00C422C8"/>
    <w:rsid w:val="00C4469B"/>
    <w:rsid w:val="00C46474"/>
    <w:rsid w:val="00C471EE"/>
    <w:rsid w:val="00C500F7"/>
    <w:rsid w:val="00C5090D"/>
    <w:rsid w:val="00C516A1"/>
    <w:rsid w:val="00C531FF"/>
    <w:rsid w:val="00C53663"/>
    <w:rsid w:val="00C543E3"/>
    <w:rsid w:val="00C54463"/>
    <w:rsid w:val="00C549C2"/>
    <w:rsid w:val="00C56B13"/>
    <w:rsid w:val="00C56C57"/>
    <w:rsid w:val="00C625FA"/>
    <w:rsid w:val="00C644C7"/>
    <w:rsid w:val="00C659D0"/>
    <w:rsid w:val="00C65F9B"/>
    <w:rsid w:val="00C66A8C"/>
    <w:rsid w:val="00C67DA4"/>
    <w:rsid w:val="00C70168"/>
    <w:rsid w:val="00C70F21"/>
    <w:rsid w:val="00C71935"/>
    <w:rsid w:val="00C72875"/>
    <w:rsid w:val="00C72993"/>
    <w:rsid w:val="00C757DA"/>
    <w:rsid w:val="00C75F62"/>
    <w:rsid w:val="00C77A95"/>
    <w:rsid w:val="00C80569"/>
    <w:rsid w:val="00C81A60"/>
    <w:rsid w:val="00C823FC"/>
    <w:rsid w:val="00C82864"/>
    <w:rsid w:val="00C8429E"/>
    <w:rsid w:val="00C86D95"/>
    <w:rsid w:val="00C903C3"/>
    <w:rsid w:val="00C9086C"/>
    <w:rsid w:val="00C91642"/>
    <w:rsid w:val="00C91FF9"/>
    <w:rsid w:val="00C92F43"/>
    <w:rsid w:val="00C944E5"/>
    <w:rsid w:val="00C96FC0"/>
    <w:rsid w:val="00CA0F52"/>
    <w:rsid w:val="00CA30D7"/>
    <w:rsid w:val="00CA4F90"/>
    <w:rsid w:val="00CB3AE8"/>
    <w:rsid w:val="00CB3EA3"/>
    <w:rsid w:val="00CB5D2C"/>
    <w:rsid w:val="00CC14E4"/>
    <w:rsid w:val="00CC2443"/>
    <w:rsid w:val="00CD107F"/>
    <w:rsid w:val="00CD1675"/>
    <w:rsid w:val="00CD399D"/>
    <w:rsid w:val="00CD4642"/>
    <w:rsid w:val="00CD5308"/>
    <w:rsid w:val="00CD6063"/>
    <w:rsid w:val="00CD6106"/>
    <w:rsid w:val="00CD7D62"/>
    <w:rsid w:val="00CE2266"/>
    <w:rsid w:val="00CE5073"/>
    <w:rsid w:val="00CE5E6E"/>
    <w:rsid w:val="00CE618F"/>
    <w:rsid w:val="00CE6508"/>
    <w:rsid w:val="00CF0DFD"/>
    <w:rsid w:val="00CF2EF2"/>
    <w:rsid w:val="00CF3777"/>
    <w:rsid w:val="00CF77E7"/>
    <w:rsid w:val="00CF7E4F"/>
    <w:rsid w:val="00D023FE"/>
    <w:rsid w:val="00D0487F"/>
    <w:rsid w:val="00D101F0"/>
    <w:rsid w:val="00D11D40"/>
    <w:rsid w:val="00D1209D"/>
    <w:rsid w:val="00D122FC"/>
    <w:rsid w:val="00D13AEB"/>
    <w:rsid w:val="00D14674"/>
    <w:rsid w:val="00D14BFB"/>
    <w:rsid w:val="00D178DE"/>
    <w:rsid w:val="00D202DB"/>
    <w:rsid w:val="00D21A57"/>
    <w:rsid w:val="00D2210B"/>
    <w:rsid w:val="00D222CE"/>
    <w:rsid w:val="00D22B7A"/>
    <w:rsid w:val="00D252DC"/>
    <w:rsid w:val="00D25E8E"/>
    <w:rsid w:val="00D333ED"/>
    <w:rsid w:val="00D364CA"/>
    <w:rsid w:val="00D36EEB"/>
    <w:rsid w:val="00D3737D"/>
    <w:rsid w:val="00D37406"/>
    <w:rsid w:val="00D377BF"/>
    <w:rsid w:val="00D4207E"/>
    <w:rsid w:val="00D44386"/>
    <w:rsid w:val="00D444F3"/>
    <w:rsid w:val="00D4554B"/>
    <w:rsid w:val="00D530AF"/>
    <w:rsid w:val="00D54B07"/>
    <w:rsid w:val="00D55776"/>
    <w:rsid w:val="00D57A52"/>
    <w:rsid w:val="00D60772"/>
    <w:rsid w:val="00D60B47"/>
    <w:rsid w:val="00D616FD"/>
    <w:rsid w:val="00D6281A"/>
    <w:rsid w:val="00D71436"/>
    <w:rsid w:val="00D719F3"/>
    <w:rsid w:val="00D71EE9"/>
    <w:rsid w:val="00D721B4"/>
    <w:rsid w:val="00D74F04"/>
    <w:rsid w:val="00D74F18"/>
    <w:rsid w:val="00D81C3D"/>
    <w:rsid w:val="00D82CD2"/>
    <w:rsid w:val="00D83463"/>
    <w:rsid w:val="00D83650"/>
    <w:rsid w:val="00D86E85"/>
    <w:rsid w:val="00D87EE7"/>
    <w:rsid w:val="00D91482"/>
    <w:rsid w:val="00D9267E"/>
    <w:rsid w:val="00D92D78"/>
    <w:rsid w:val="00D932EE"/>
    <w:rsid w:val="00D94B63"/>
    <w:rsid w:val="00D94EA0"/>
    <w:rsid w:val="00D951CD"/>
    <w:rsid w:val="00D96622"/>
    <w:rsid w:val="00D9708A"/>
    <w:rsid w:val="00D977AC"/>
    <w:rsid w:val="00D97AB1"/>
    <w:rsid w:val="00DA07F9"/>
    <w:rsid w:val="00DA0FDF"/>
    <w:rsid w:val="00DA1925"/>
    <w:rsid w:val="00DA1E54"/>
    <w:rsid w:val="00DA35CA"/>
    <w:rsid w:val="00DA70FF"/>
    <w:rsid w:val="00DA7DEC"/>
    <w:rsid w:val="00DA7F91"/>
    <w:rsid w:val="00DB0CCF"/>
    <w:rsid w:val="00DB3818"/>
    <w:rsid w:val="00DB4518"/>
    <w:rsid w:val="00DB6B93"/>
    <w:rsid w:val="00DB6C2C"/>
    <w:rsid w:val="00DC0932"/>
    <w:rsid w:val="00DC0A4B"/>
    <w:rsid w:val="00DC0E9B"/>
    <w:rsid w:val="00DC1548"/>
    <w:rsid w:val="00DC1C27"/>
    <w:rsid w:val="00DC21CC"/>
    <w:rsid w:val="00DC25EF"/>
    <w:rsid w:val="00DC6D4E"/>
    <w:rsid w:val="00DC73F9"/>
    <w:rsid w:val="00DC7CCD"/>
    <w:rsid w:val="00DD19B7"/>
    <w:rsid w:val="00DD22BC"/>
    <w:rsid w:val="00DE279C"/>
    <w:rsid w:val="00DE3931"/>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93F"/>
    <w:rsid w:val="00E14D5C"/>
    <w:rsid w:val="00E159C4"/>
    <w:rsid w:val="00E15AF3"/>
    <w:rsid w:val="00E161D1"/>
    <w:rsid w:val="00E1689F"/>
    <w:rsid w:val="00E17254"/>
    <w:rsid w:val="00E17D3A"/>
    <w:rsid w:val="00E212BE"/>
    <w:rsid w:val="00E21FA4"/>
    <w:rsid w:val="00E22D24"/>
    <w:rsid w:val="00E22F24"/>
    <w:rsid w:val="00E2382F"/>
    <w:rsid w:val="00E24E5D"/>
    <w:rsid w:val="00E25D69"/>
    <w:rsid w:val="00E3217C"/>
    <w:rsid w:val="00E34216"/>
    <w:rsid w:val="00E36741"/>
    <w:rsid w:val="00E373AE"/>
    <w:rsid w:val="00E41597"/>
    <w:rsid w:val="00E4172D"/>
    <w:rsid w:val="00E4182E"/>
    <w:rsid w:val="00E50413"/>
    <w:rsid w:val="00E5208E"/>
    <w:rsid w:val="00E538F1"/>
    <w:rsid w:val="00E55935"/>
    <w:rsid w:val="00E56B19"/>
    <w:rsid w:val="00E57237"/>
    <w:rsid w:val="00E61F86"/>
    <w:rsid w:val="00E62506"/>
    <w:rsid w:val="00E63F89"/>
    <w:rsid w:val="00E64BFD"/>
    <w:rsid w:val="00E64C0A"/>
    <w:rsid w:val="00E64C4D"/>
    <w:rsid w:val="00E64EBF"/>
    <w:rsid w:val="00E653BF"/>
    <w:rsid w:val="00E70147"/>
    <w:rsid w:val="00E70383"/>
    <w:rsid w:val="00E709DB"/>
    <w:rsid w:val="00E70F83"/>
    <w:rsid w:val="00E75B4B"/>
    <w:rsid w:val="00E8016B"/>
    <w:rsid w:val="00E80617"/>
    <w:rsid w:val="00E8163D"/>
    <w:rsid w:val="00E85B61"/>
    <w:rsid w:val="00E87088"/>
    <w:rsid w:val="00E941F7"/>
    <w:rsid w:val="00E95E66"/>
    <w:rsid w:val="00E965FF"/>
    <w:rsid w:val="00E966C3"/>
    <w:rsid w:val="00E97422"/>
    <w:rsid w:val="00E97D6F"/>
    <w:rsid w:val="00E97EB0"/>
    <w:rsid w:val="00EA2BF9"/>
    <w:rsid w:val="00EA42FC"/>
    <w:rsid w:val="00EA5D2D"/>
    <w:rsid w:val="00EB67DA"/>
    <w:rsid w:val="00EC29B6"/>
    <w:rsid w:val="00EC4C81"/>
    <w:rsid w:val="00EC54C9"/>
    <w:rsid w:val="00EC6399"/>
    <w:rsid w:val="00EC7B6C"/>
    <w:rsid w:val="00ED00C1"/>
    <w:rsid w:val="00ED059D"/>
    <w:rsid w:val="00ED11DD"/>
    <w:rsid w:val="00ED3579"/>
    <w:rsid w:val="00ED36C0"/>
    <w:rsid w:val="00ED6EE5"/>
    <w:rsid w:val="00ED7EF1"/>
    <w:rsid w:val="00EE5D7E"/>
    <w:rsid w:val="00EE610D"/>
    <w:rsid w:val="00EE6A58"/>
    <w:rsid w:val="00EF59D3"/>
    <w:rsid w:val="00EF6881"/>
    <w:rsid w:val="00EF7BA0"/>
    <w:rsid w:val="00F00288"/>
    <w:rsid w:val="00F03745"/>
    <w:rsid w:val="00F03899"/>
    <w:rsid w:val="00F07220"/>
    <w:rsid w:val="00F10329"/>
    <w:rsid w:val="00F12718"/>
    <w:rsid w:val="00F12B22"/>
    <w:rsid w:val="00F13C9F"/>
    <w:rsid w:val="00F14EF6"/>
    <w:rsid w:val="00F16E43"/>
    <w:rsid w:val="00F16FED"/>
    <w:rsid w:val="00F17570"/>
    <w:rsid w:val="00F20D57"/>
    <w:rsid w:val="00F210E2"/>
    <w:rsid w:val="00F22550"/>
    <w:rsid w:val="00F23334"/>
    <w:rsid w:val="00F2738E"/>
    <w:rsid w:val="00F3016E"/>
    <w:rsid w:val="00F316C9"/>
    <w:rsid w:val="00F379AA"/>
    <w:rsid w:val="00F43CFA"/>
    <w:rsid w:val="00F44761"/>
    <w:rsid w:val="00F46AB3"/>
    <w:rsid w:val="00F474B2"/>
    <w:rsid w:val="00F50369"/>
    <w:rsid w:val="00F50692"/>
    <w:rsid w:val="00F5173D"/>
    <w:rsid w:val="00F52276"/>
    <w:rsid w:val="00F55A38"/>
    <w:rsid w:val="00F565B8"/>
    <w:rsid w:val="00F56B70"/>
    <w:rsid w:val="00F575A7"/>
    <w:rsid w:val="00F60831"/>
    <w:rsid w:val="00F65AD3"/>
    <w:rsid w:val="00F70531"/>
    <w:rsid w:val="00F71128"/>
    <w:rsid w:val="00F71E53"/>
    <w:rsid w:val="00F72EFC"/>
    <w:rsid w:val="00F768AB"/>
    <w:rsid w:val="00F76A08"/>
    <w:rsid w:val="00F77DBA"/>
    <w:rsid w:val="00F77F0A"/>
    <w:rsid w:val="00F81D9A"/>
    <w:rsid w:val="00F84D9C"/>
    <w:rsid w:val="00F85DCD"/>
    <w:rsid w:val="00F875D2"/>
    <w:rsid w:val="00F90490"/>
    <w:rsid w:val="00F91507"/>
    <w:rsid w:val="00F92800"/>
    <w:rsid w:val="00F93577"/>
    <w:rsid w:val="00F94AE4"/>
    <w:rsid w:val="00F97389"/>
    <w:rsid w:val="00F976AC"/>
    <w:rsid w:val="00F97B09"/>
    <w:rsid w:val="00FA12AD"/>
    <w:rsid w:val="00FA1C85"/>
    <w:rsid w:val="00FA356D"/>
    <w:rsid w:val="00FA3864"/>
    <w:rsid w:val="00FA43C3"/>
    <w:rsid w:val="00FA48E5"/>
    <w:rsid w:val="00FA4B4C"/>
    <w:rsid w:val="00FA6964"/>
    <w:rsid w:val="00FA6D1C"/>
    <w:rsid w:val="00FB19A9"/>
    <w:rsid w:val="00FB62F1"/>
    <w:rsid w:val="00FC097D"/>
    <w:rsid w:val="00FC0A54"/>
    <w:rsid w:val="00FC2F2E"/>
    <w:rsid w:val="00FC3A41"/>
    <w:rsid w:val="00FC451A"/>
    <w:rsid w:val="00FC7152"/>
    <w:rsid w:val="00FD07FD"/>
    <w:rsid w:val="00FD314F"/>
    <w:rsid w:val="00FD3F68"/>
    <w:rsid w:val="00FD6099"/>
    <w:rsid w:val="00FD668C"/>
    <w:rsid w:val="00FD6731"/>
    <w:rsid w:val="00FD6BBF"/>
    <w:rsid w:val="00FD707C"/>
    <w:rsid w:val="00FE51BD"/>
    <w:rsid w:val="00FE5DC3"/>
    <w:rsid w:val="00FF1779"/>
    <w:rsid w:val="00FF1981"/>
    <w:rsid w:val="00FF2340"/>
    <w:rsid w:val="00FF60C7"/>
    <w:rsid w:val="00FF7392"/>
    <w:rsid w:val="010303EC"/>
    <w:rsid w:val="0126611F"/>
    <w:rsid w:val="014A4599"/>
    <w:rsid w:val="01B044B1"/>
    <w:rsid w:val="01DD137F"/>
    <w:rsid w:val="023B43DC"/>
    <w:rsid w:val="02F8730E"/>
    <w:rsid w:val="03DE49BB"/>
    <w:rsid w:val="03EF71F0"/>
    <w:rsid w:val="040528C9"/>
    <w:rsid w:val="045278D0"/>
    <w:rsid w:val="046E2D9A"/>
    <w:rsid w:val="05227C5E"/>
    <w:rsid w:val="05251B08"/>
    <w:rsid w:val="053B6951"/>
    <w:rsid w:val="05EB2C7E"/>
    <w:rsid w:val="05F9388E"/>
    <w:rsid w:val="06A850F2"/>
    <w:rsid w:val="074D26E8"/>
    <w:rsid w:val="07E2769E"/>
    <w:rsid w:val="07FF3C7B"/>
    <w:rsid w:val="08FA4D2C"/>
    <w:rsid w:val="09343ED2"/>
    <w:rsid w:val="09E0216A"/>
    <w:rsid w:val="0A094924"/>
    <w:rsid w:val="0AAE1CEC"/>
    <w:rsid w:val="0B5C4BE2"/>
    <w:rsid w:val="0C831D18"/>
    <w:rsid w:val="0D153A3C"/>
    <w:rsid w:val="0D169153"/>
    <w:rsid w:val="0D233E20"/>
    <w:rsid w:val="0D5154F3"/>
    <w:rsid w:val="0DBC179E"/>
    <w:rsid w:val="0E864426"/>
    <w:rsid w:val="0EEE0AE2"/>
    <w:rsid w:val="0F110DA1"/>
    <w:rsid w:val="10716E79"/>
    <w:rsid w:val="10C801D1"/>
    <w:rsid w:val="11EE1C89"/>
    <w:rsid w:val="12F34B43"/>
    <w:rsid w:val="13404ED0"/>
    <w:rsid w:val="13913499"/>
    <w:rsid w:val="146F2D20"/>
    <w:rsid w:val="14C247E7"/>
    <w:rsid w:val="14E431DA"/>
    <w:rsid w:val="14F939C7"/>
    <w:rsid w:val="15E440F6"/>
    <w:rsid w:val="164D25CB"/>
    <w:rsid w:val="16864176"/>
    <w:rsid w:val="16EA648F"/>
    <w:rsid w:val="174D520D"/>
    <w:rsid w:val="177813AE"/>
    <w:rsid w:val="17D3F001"/>
    <w:rsid w:val="17E666CD"/>
    <w:rsid w:val="17ED387C"/>
    <w:rsid w:val="18343D86"/>
    <w:rsid w:val="18A6155D"/>
    <w:rsid w:val="18AD3023"/>
    <w:rsid w:val="194557CF"/>
    <w:rsid w:val="1A7D41CF"/>
    <w:rsid w:val="1A840CB2"/>
    <w:rsid w:val="1AB36E1E"/>
    <w:rsid w:val="1B0F6A19"/>
    <w:rsid w:val="1B89432E"/>
    <w:rsid w:val="1BE30EBD"/>
    <w:rsid w:val="1BF9128E"/>
    <w:rsid w:val="1C385056"/>
    <w:rsid w:val="1CAA3098"/>
    <w:rsid w:val="1CDB3A8E"/>
    <w:rsid w:val="1CFE1A66"/>
    <w:rsid w:val="1D2C02E6"/>
    <w:rsid w:val="1D325FF5"/>
    <w:rsid w:val="1D552E21"/>
    <w:rsid w:val="1DD04A67"/>
    <w:rsid w:val="1E06345B"/>
    <w:rsid w:val="1E0B719A"/>
    <w:rsid w:val="1EF667B5"/>
    <w:rsid w:val="1F08783A"/>
    <w:rsid w:val="1F5F7059"/>
    <w:rsid w:val="1F5FD077"/>
    <w:rsid w:val="1F7F9FCD"/>
    <w:rsid w:val="1FD3237E"/>
    <w:rsid w:val="20051469"/>
    <w:rsid w:val="20670D06"/>
    <w:rsid w:val="21C244AB"/>
    <w:rsid w:val="21CE0EBF"/>
    <w:rsid w:val="21CE2E32"/>
    <w:rsid w:val="22174111"/>
    <w:rsid w:val="227D8A5C"/>
    <w:rsid w:val="22BB5329"/>
    <w:rsid w:val="22C010BB"/>
    <w:rsid w:val="22CB362A"/>
    <w:rsid w:val="23166F1C"/>
    <w:rsid w:val="24066D94"/>
    <w:rsid w:val="24485B15"/>
    <w:rsid w:val="24D63322"/>
    <w:rsid w:val="24D70E84"/>
    <w:rsid w:val="25A948A4"/>
    <w:rsid w:val="265F546B"/>
    <w:rsid w:val="276C069C"/>
    <w:rsid w:val="27B412E3"/>
    <w:rsid w:val="27C31C2D"/>
    <w:rsid w:val="27E7F9B1"/>
    <w:rsid w:val="28B0208E"/>
    <w:rsid w:val="29360C46"/>
    <w:rsid w:val="29520E12"/>
    <w:rsid w:val="29C77F48"/>
    <w:rsid w:val="2A5C4C8C"/>
    <w:rsid w:val="2A804F42"/>
    <w:rsid w:val="2A8F7C66"/>
    <w:rsid w:val="2ABD2F17"/>
    <w:rsid w:val="2ACA5B58"/>
    <w:rsid w:val="2B7B85BA"/>
    <w:rsid w:val="2B7C1461"/>
    <w:rsid w:val="2CC47FB9"/>
    <w:rsid w:val="2DAB1E47"/>
    <w:rsid w:val="2E29286D"/>
    <w:rsid w:val="2E6D27C3"/>
    <w:rsid w:val="2EB05E06"/>
    <w:rsid w:val="2EBDA657"/>
    <w:rsid w:val="2EBDF5CD"/>
    <w:rsid w:val="2ED5E3D1"/>
    <w:rsid w:val="2ED7A22F"/>
    <w:rsid w:val="2EF44025"/>
    <w:rsid w:val="2F46461E"/>
    <w:rsid w:val="2F6F80E2"/>
    <w:rsid w:val="2F726886"/>
    <w:rsid w:val="2F9B307D"/>
    <w:rsid w:val="301E1D7C"/>
    <w:rsid w:val="303A1029"/>
    <w:rsid w:val="305B3E8A"/>
    <w:rsid w:val="3097657B"/>
    <w:rsid w:val="313D3A78"/>
    <w:rsid w:val="315D2D8F"/>
    <w:rsid w:val="31AF6179"/>
    <w:rsid w:val="31FE676E"/>
    <w:rsid w:val="32BB1514"/>
    <w:rsid w:val="3331526F"/>
    <w:rsid w:val="33354265"/>
    <w:rsid w:val="335E1199"/>
    <w:rsid w:val="337155D6"/>
    <w:rsid w:val="33BEED52"/>
    <w:rsid w:val="33E24B3F"/>
    <w:rsid w:val="33FD2556"/>
    <w:rsid w:val="343267C1"/>
    <w:rsid w:val="347761FD"/>
    <w:rsid w:val="349747B1"/>
    <w:rsid w:val="353115DE"/>
    <w:rsid w:val="3548796C"/>
    <w:rsid w:val="35BF8D4F"/>
    <w:rsid w:val="35BFBBA7"/>
    <w:rsid w:val="36020ED9"/>
    <w:rsid w:val="36CF0E34"/>
    <w:rsid w:val="36F57693"/>
    <w:rsid w:val="37CEB084"/>
    <w:rsid w:val="37E50966"/>
    <w:rsid w:val="3809031D"/>
    <w:rsid w:val="385A2FCB"/>
    <w:rsid w:val="385C2D15"/>
    <w:rsid w:val="387C4B87"/>
    <w:rsid w:val="38BD77AD"/>
    <w:rsid w:val="3AC8F13A"/>
    <w:rsid w:val="3AD14768"/>
    <w:rsid w:val="3ADFC2F1"/>
    <w:rsid w:val="3AE33870"/>
    <w:rsid w:val="3AEB78D2"/>
    <w:rsid w:val="3AF54E77"/>
    <w:rsid w:val="3B7345F0"/>
    <w:rsid w:val="3BB4E824"/>
    <w:rsid w:val="3BBE2169"/>
    <w:rsid w:val="3BCC75A6"/>
    <w:rsid w:val="3BDF6EAD"/>
    <w:rsid w:val="3BFF2718"/>
    <w:rsid w:val="3C5D229D"/>
    <w:rsid w:val="3C5E070D"/>
    <w:rsid w:val="3D7A5EAB"/>
    <w:rsid w:val="3DF71A3F"/>
    <w:rsid w:val="3E720EC7"/>
    <w:rsid w:val="3E794F11"/>
    <w:rsid w:val="3E7A2F97"/>
    <w:rsid w:val="3EA11BB5"/>
    <w:rsid w:val="3EF7CDE7"/>
    <w:rsid w:val="3F552411"/>
    <w:rsid w:val="3F7E3AC4"/>
    <w:rsid w:val="3F9E4032"/>
    <w:rsid w:val="3FBD18A8"/>
    <w:rsid w:val="3FC6CFF5"/>
    <w:rsid w:val="3FDE95BD"/>
    <w:rsid w:val="3FEED90D"/>
    <w:rsid w:val="3FEF5F00"/>
    <w:rsid w:val="3FFAA2C4"/>
    <w:rsid w:val="3FFB88C7"/>
    <w:rsid w:val="3FFEFBB7"/>
    <w:rsid w:val="4052409B"/>
    <w:rsid w:val="408E049A"/>
    <w:rsid w:val="41374886"/>
    <w:rsid w:val="415D38B1"/>
    <w:rsid w:val="42496E15"/>
    <w:rsid w:val="45241E6B"/>
    <w:rsid w:val="45373BB8"/>
    <w:rsid w:val="46F313C5"/>
    <w:rsid w:val="475519A7"/>
    <w:rsid w:val="478421CA"/>
    <w:rsid w:val="47BF7EE0"/>
    <w:rsid w:val="47E04BD0"/>
    <w:rsid w:val="481C5D82"/>
    <w:rsid w:val="484C386F"/>
    <w:rsid w:val="48E0685E"/>
    <w:rsid w:val="495B39C3"/>
    <w:rsid w:val="49AF6B1C"/>
    <w:rsid w:val="4A3A2BEE"/>
    <w:rsid w:val="4A5F8138"/>
    <w:rsid w:val="4A9553E3"/>
    <w:rsid w:val="4B7E18BE"/>
    <w:rsid w:val="4BA62737"/>
    <w:rsid w:val="4BAA0E67"/>
    <w:rsid w:val="4BB12688"/>
    <w:rsid w:val="4BBEBA88"/>
    <w:rsid w:val="4DF91E05"/>
    <w:rsid w:val="4E551AB7"/>
    <w:rsid w:val="4EAE2D46"/>
    <w:rsid w:val="4EC92256"/>
    <w:rsid w:val="4EDA6412"/>
    <w:rsid w:val="4EE43656"/>
    <w:rsid w:val="4EEB4587"/>
    <w:rsid w:val="4F0963B9"/>
    <w:rsid w:val="4F5869B8"/>
    <w:rsid w:val="4F6E7CDD"/>
    <w:rsid w:val="4FB510B2"/>
    <w:rsid w:val="4FF78C1B"/>
    <w:rsid w:val="503B0B59"/>
    <w:rsid w:val="514C5D3A"/>
    <w:rsid w:val="514E26CA"/>
    <w:rsid w:val="51650C56"/>
    <w:rsid w:val="51B17ED3"/>
    <w:rsid w:val="51CC0C9C"/>
    <w:rsid w:val="51F532EC"/>
    <w:rsid w:val="521E0F58"/>
    <w:rsid w:val="52FC9A13"/>
    <w:rsid w:val="531A3EEC"/>
    <w:rsid w:val="536D0CB8"/>
    <w:rsid w:val="53DF13B2"/>
    <w:rsid w:val="53FA5DAF"/>
    <w:rsid w:val="5407785C"/>
    <w:rsid w:val="54DA34FA"/>
    <w:rsid w:val="5575588A"/>
    <w:rsid w:val="55CE607B"/>
    <w:rsid w:val="56296CC2"/>
    <w:rsid w:val="563259BB"/>
    <w:rsid w:val="563F3C3B"/>
    <w:rsid w:val="56674E8C"/>
    <w:rsid w:val="56AD50B0"/>
    <w:rsid w:val="57263744"/>
    <w:rsid w:val="57875F9D"/>
    <w:rsid w:val="57BD15B1"/>
    <w:rsid w:val="57BF47A0"/>
    <w:rsid w:val="57E7D141"/>
    <w:rsid w:val="58F72EA6"/>
    <w:rsid w:val="597F611B"/>
    <w:rsid w:val="598B42E6"/>
    <w:rsid w:val="59986D2B"/>
    <w:rsid w:val="59B952B2"/>
    <w:rsid w:val="5A3F1D4E"/>
    <w:rsid w:val="5B8405D3"/>
    <w:rsid w:val="5BAE3879"/>
    <w:rsid w:val="5BDFF23E"/>
    <w:rsid w:val="5BEFD854"/>
    <w:rsid w:val="5BFD85A5"/>
    <w:rsid w:val="5C352BF6"/>
    <w:rsid w:val="5C3D475F"/>
    <w:rsid w:val="5C4105AB"/>
    <w:rsid w:val="5CC3704B"/>
    <w:rsid w:val="5CFF0CD4"/>
    <w:rsid w:val="5D3EBF14"/>
    <w:rsid w:val="5D7FC3E8"/>
    <w:rsid w:val="5DABBDA5"/>
    <w:rsid w:val="5DF71311"/>
    <w:rsid w:val="5E65275D"/>
    <w:rsid w:val="5EFE16D3"/>
    <w:rsid w:val="5F7ED3F8"/>
    <w:rsid w:val="5F7EDB47"/>
    <w:rsid w:val="5F9E3EE5"/>
    <w:rsid w:val="5FB61F05"/>
    <w:rsid w:val="5FB648BA"/>
    <w:rsid w:val="5FBC60B1"/>
    <w:rsid w:val="5FEF5AAA"/>
    <w:rsid w:val="5FFD1E95"/>
    <w:rsid w:val="5FFD74DB"/>
    <w:rsid w:val="5FFF08E3"/>
    <w:rsid w:val="5FFF388C"/>
    <w:rsid w:val="60743D44"/>
    <w:rsid w:val="61345A20"/>
    <w:rsid w:val="61462629"/>
    <w:rsid w:val="614A598F"/>
    <w:rsid w:val="622F19B2"/>
    <w:rsid w:val="62ADD280"/>
    <w:rsid w:val="62E72BF9"/>
    <w:rsid w:val="634F0094"/>
    <w:rsid w:val="63842710"/>
    <w:rsid w:val="63BF38C5"/>
    <w:rsid w:val="63CF53EB"/>
    <w:rsid w:val="64B86B45"/>
    <w:rsid w:val="64E61D79"/>
    <w:rsid w:val="657D20DC"/>
    <w:rsid w:val="658548AA"/>
    <w:rsid w:val="6667D0B9"/>
    <w:rsid w:val="677806B2"/>
    <w:rsid w:val="67B71E32"/>
    <w:rsid w:val="67FB3E54"/>
    <w:rsid w:val="67FCAF97"/>
    <w:rsid w:val="68084A6A"/>
    <w:rsid w:val="685204E7"/>
    <w:rsid w:val="687836DB"/>
    <w:rsid w:val="68CE07C3"/>
    <w:rsid w:val="68CE0D3E"/>
    <w:rsid w:val="68DA1A41"/>
    <w:rsid w:val="691C6E35"/>
    <w:rsid w:val="69B8633B"/>
    <w:rsid w:val="69E84CED"/>
    <w:rsid w:val="6A6F2D91"/>
    <w:rsid w:val="6A7A11BA"/>
    <w:rsid w:val="6A851DB1"/>
    <w:rsid w:val="6AA5A2AF"/>
    <w:rsid w:val="6AA828F9"/>
    <w:rsid w:val="6ADF78E1"/>
    <w:rsid w:val="6BA830BD"/>
    <w:rsid w:val="6BB63CA5"/>
    <w:rsid w:val="6BFE1E55"/>
    <w:rsid w:val="6CFF6472"/>
    <w:rsid w:val="6D5F1F75"/>
    <w:rsid w:val="6D820E29"/>
    <w:rsid w:val="6DDEAC06"/>
    <w:rsid w:val="6DE463A4"/>
    <w:rsid w:val="6DF3E146"/>
    <w:rsid w:val="6E592528"/>
    <w:rsid w:val="6E9EDCA8"/>
    <w:rsid w:val="6EF7177C"/>
    <w:rsid w:val="6EF7C0B1"/>
    <w:rsid w:val="6F2C465B"/>
    <w:rsid w:val="6F7BF44F"/>
    <w:rsid w:val="6F8D0A64"/>
    <w:rsid w:val="6FBE7DCA"/>
    <w:rsid w:val="6FF61A89"/>
    <w:rsid w:val="6FFC7BF8"/>
    <w:rsid w:val="6FFEC21E"/>
    <w:rsid w:val="710D7F90"/>
    <w:rsid w:val="721F2441"/>
    <w:rsid w:val="72D63D91"/>
    <w:rsid w:val="72EDD192"/>
    <w:rsid w:val="7328155E"/>
    <w:rsid w:val="738D50CC"/>
    <w:rsid w:val="73D35A4C"/>
    <w:rsid w:val="73ED57AE"/>
    <w:rsid w:val="74195E6D"/>
    <w:rsid w:val="74BFB9E8"/>
    <w:rsid w:val="74BFF562"/>
    <w:rsid w:val="752F17BA"/>
    <w:rsid w:val="763BD2D7"/>
    <w:rsid w:val="767EB6F2"/>
    <w:rsid w:val="76D5F520"/>
    <w:rsid w:val="76EFCE68"/>
    <w:rsid w:val="776567F5"/>
    <w:rsid w:val="779E30C8"/>
    <w:rsid w:val="77AB1009"/>
    <w:rsid w:val="77B3A7AD"/>
    <w:rsid w:val="77CF361E"/>
    <w:rsid w:val="77E7A04B"/>
    <w:rsid w:val="77EF04A4"/>
    <w:rsid w:val="77FF0AD6"/>
    <w:rsid w:val="77FFD4F8"/>
    <w:rsid w:val="787A7741"/>
    <w:rsid w:val="787F895A"/>
    <w:rsid w:val="78FF9541"/>
    <w:rsid w:val="79192F1A"/>
    <w:rsid w:val="79737A47"/>
    <w:rsid w:val="798C0D2B"/>
    <w:rsid w:val="79AC058A"/>
    <w:rsid w:val="79DBA05C"/>
    <w:rsid w:val="79FF119B"/>
    <w:rsid w:val="7A252BB7"/>
    <w:rsid w:val="7A9A50FF"/>
    <w:rsid w:val="7AAA613F"/>
    <w:rsid w:val="7AFD99D1"/>
    <w:rsid w:val="7B89FD98"/>
    <w:rsid w:val="7BAFBCAF"/>
    <w:rsid w:val="7BCFD4AB"/>
    <w:rsid w:val="7BF5DC97"/>
    <w:rsid w:val="7BF975BF"/>
    <w:rsid w:val="7BFF9F86"/>
    <w:rsid w:val="7BFFCA64"/>
    <w:rsid w:val="7C4823C0"/>
    <w:rsid w:val="7CFD96D8"/>
    <w:rsid w:val="7D152793"/>
    <w:rsid w:val="7D164783"/>
    <w:rsid w:val="7D5EF552"/>
    <w:rsid w:val="7D7EAA8D"/>
    <w:rsid w:val="7DD559FB"/>
    <w:rsid w:val="7DDBAFE3"/>
    <w:rsid w:val="7DDC9B9A"/>
    <w:rsid w:val="7DDFF57C"/>
    <w:rsid w:val="7DF63800"/>
    <w:rsid w:val="7DF7489A"/>
    <w:rsid w:val="7E23051E"/>
    <w:rsid w:val="7E63599B"/>
    <w:rsid w:val="7E960D71"/>
    <w:rsid w:val="7EB742D1"/>
    <w:rsid w:val="7ED42923"/>
    <w:rsid w:val="7EE713CF"/>
    <w:rsid w:val="7EF748CB"/>
    <w:rsid w:val="7EFFCDE4"/>
    <w:rsid w:val="7F04522B"/>
    <w:rsid w:val="7F1C498F"/>
    <w:rsid w:val="7F5EFB59"/>
    <w:rsid w:val="7F6758C1"/>
    <w:rsid w:val="7F793836"/>
    <w:rsid w:val="7FB7116E"/>
    <w:rsid w:val="7FB7D8C2"/>
    <w:rsid w:val="7FB94C2B"/>
    <w:rsid w:val="7FBE65D4"/>
    <w:rsid w:val="7FBF40DA"/>
    <w:rsid w:val="7FD7369E"/>
    <w:rsid w:val="7FDB9281"/>
    <w:rsid w:val="7FECBA49"/>
    <w:rsid w:val="7FEEC858"/>
    <w:rsid w:val="7FEF18A8"/>
    <w:rsid w:val="7FFC9755"/>
    <w:rsid w:val="7FFEC353"/>
    <w:rsid w:val="7FFFA2D3"/>
    <w:rsid w:val="7FFFDC18"/>
    <w:rsid w:val="7FFFF28D"/>
    <w:rsid w:val="8E7F95E9"/>
    <w:rsid w:val="957F436C"/>
    <w:rsid w:val="96BFCEDA"/>
    <w:rsid w:val="96FF8D25"/>
    <w:rsid w:val="979C9C03"/>
    <w:rsid w:val="9B7C5195"/>
    <w:rsid w:val="9CB7D394"/>
    <w:rsid w:val="9DDF3180"/>
    <w:rsid w:val="9DFDDABD"/>
    <w:rsid w:val="9DFDE68B"/>
    <w:rsid w:val="9EB9880B"/>
    <w:rsid w:val="9FE49CDC"/>
    <w:rsid w:val="A1F329B8"/>
    <w:rsid w:val="A3FF3E53"/>
    <w:rsid w:val="AEFA531B"/>
    <w:rsid w:val="AFFF8DC0"/>
    <w:rsid w:val="B1ED2E84"/>
    <w:rsid w:val="B5F34942"/>
    <w:rsid w:val="B67ECFDD"/>
    <w:rsid w:val="B6B99826"/>
    <w:rsid w:val="B7371A8F"/>
    <w:rsid w:val="B7A80D02"/>
    <w:rsid w:val="B7EFE4E9"/>
    <w:rsid w:val="B877A65B"/>
    <w:rsid w:val="B8EFC5CD"/>
    <w:rsid w:val="B9B6B54D"/>
    <w:rsid w:val="BBCF9860"/>
    <w:rsid w:val="BBFBD091"/>
    <w:rsid w:val="BD7F67C4"/>
    <w:rsid w:val="BE3F97B8"/>
    <w:rsid w:val="BEB7D29A"/>
    <w:rsid w:val="BFFCE0B5"/>
    <w:rsid w:val="CF6D5042"/>
    <w:rsid w:val="CF7B6915"/>
    <w:rsid w:val="CF7FF6A4"/>
    <w:rsid w:val="CFCF5296"/>
    <w:rsid w:val="CFDB7FE9"/>
    <w:rsid w:val="D17F6686"/>
    <w:rsid w:val="D3EFB08B"/>
    <w:rsid w:val="D56FF9A8"/>
    <w:rsid w:val="D5BE6B8D"/>
    <w:rsid w:val="D67F6601"/>
    <w:rsid w:val="DAFF0684"/>
    <w:rsid w:val="DAFFCF86"/>
    <w:rsid w:val="DB7FFE77"/>
    <w:rsid w:val="DBA988CA"/>
    <w:rsid w:val="DBF63C1B"/>
    <w:rsid w:val="DCEE4CE5"/>
    <w:rsid w:val="DDDED59A"/>
    <w:rsid w:val="DDEE47ED"/>
    <w:rsid w:val="DE5E6A77"/>
    <w:rsid w:val="DEC7CE23"/>
    <w:rsid w:val="DEF923FF"/>
    <w:rsid w:val="DF09555F"/>
    <w:rsid w:val="DF671562"/>
    <w:rsid w:val="DF7AE9CB"/>
    <w:rsid w:val="DF7E93EB"/>
    <w:rsid w:val="DF8F4822"/>
    <w:rsid w:val="DFBF0E98"/>
    <w:rsid w:val="DFBF19CC"/>
    <w:rsid w:val="DFCF36CA"/>
    <w:rsid w:val="DFD3F1E3"/>
    <w:rsid w:val="DFD7374B"/>
    <w:rsid w:val="DFEDA9C2"/>
    <w:rsid w:val="DFFF268E"/>
    <w:rsid w:val="DFFF3A19"/>
    <w:rsid w:val="DFFF5D12"/>
    <w:rsid w:val="DFFFA02A"/>
    <w:rsid w:val="DFFFB814"/>
    <w:rsid w:val="E3EF4020"/>
    <w:rsid w:val="E3F59C27"/>
    <w:rsid w:val="E3FE48BC"/>
    <w:rsid w:val="E5BDD1EC"/>
    <w:rsid w:val="E5F65382"/>
    <w:rsid w:val="E5FDFEDB"/>
    <w:rsid w:val="E8EF42D7"/>
    <w:rsid w:val="E9AC0C6B"/>
    <w:rsid w:val="EAFF70A9"/>
    <w:rsid w:val="EB785A0F"/>
    <w:rsid w:val="EBD3844C"/>
    <w:rsid w:val="EBFD7C0D"/>
    <w:rsid w:val="EBFE3E32"/>
    <w:rsid w:val="ECF739DA"/>
    <w:rsid w:val="EDB38BB5"/>
    <w:rsid w:val="EDB7D251"/>
    <w:rsid w:val="EDEEC800"/>
    <w:rsid w:val="EDFF826C"/>
    <w:rsid w:val="EEBFF2AD"/>
    <w:rsid w:val="EF1BA8D9"/>
    <w:rsid w:val="EF3D3FDC"/>
    <w:rsid w:val="EF5BC007"/>
    <w:rsid w:val="EF708B14"/>
    <w:rsid w:val="EF9AF01C"/>
    <w:rsid w:val="EFB770B0"/>
    <w:rsid w:val="EFCF784B"/>
    <w:rsid w:val="EFEFDFAB"/>
    <w:rsid w:val="EFF747C8"/>
    <w:rsid w:val="F1EE0951"/>
    <w:rsid w:val="F3F0A6FA"/>
    <w:rsid w:val="F3F24018"/>
    <w:rsid w:val="F57B5FBC"/>
    <w:rsid w:val="F6EAB7B2"/>
    <w:rsid w:val="F6F78108"/>
    <w:rsid w:val="F6F98087"/>
    <w:rsid w:val="F7704439"/>
    <w:rsid w:val="F78E0D9B"/>
    <w:rsid w:val="F7C8116F"/>
    <w:rsid w:val="F7D78088"/>
    <w:rsid w:val="F7F34050"/>
    <w:rsid w:val="F7FC023C"/>
    <w:rsid w:val="F9F2611A"/>
    <w:rsid w:val="F9FF81DA"/>
    <w:rsid w:val="FABF15D4"/>
    <w:rsid w:val="FADF4C6D"/>
    <w:rsid w:val="FB5E92D3"/>
    <w:rsid w:val="FB755661"/>
    <w:rsid w:val="FB7F14B4"/>
    <w:rsid w:val="FBBB49CD"/>
    <w:rsid w:val="FBDE2BAC"/>
    <w:rsid w:val="FBE969A8"/>
    <w:rsid w:val="FBEF753E"/>
    <w:rsid w:val="FBFB64FD"/>
    <w:rsid w:val="FBFF3AB4"/>
    <w:rsid w:val="FD3F0D63"/>
    <w:rsid w:val="FD6BFFB3"/>
    <w:rsid w:val="FD933FC9"/>
    <w:rsid w:val="FDD7FB95"/>
    <w:rsid w:val="FDDBBA0E"/>
    <w:rsid w:val="FDE1BBD5"/>
    <w:rsid w:val="FDE7CF7C"/>
    <w:rsid w:val="FDED917A"/>
    <w:rsid w:val="FDFF42F5"/>
    <w:rsid w:val="FDFFC106"/>
    <w:rsid w:val="FE1FC783"/>
    <w:rsid w:val="FE378A26"/>
    <w:rsid w:val="FEBD6A40"/>
    <w:rsid w:val="FEDB15B7"/>
    <w:rsid w:val="FEEFF511"/>
    <w:rsid w:val="FEF3CA17"/>
    <w:rsid w:val="FEFA3A80"/>
    <w:rsid w:val="FEFD9A17"/>
    <w:rsid w:val="FEFF7135"/>
    <w:rsid w:val="FF3BFD45"/>
    <w:rsid w:val="FF5F1EC0"/>
    <w:rsid w:val="FF5FFD0A"/>
    <w:rsid w:val="FF9F02FD"/>
    <w:rsid w:val="FF9F6DF8"/>
    <w:rsid w:val="FFB7F231"/>
    <w:rsid w:val="FFBA6E66"/>
    <w:rsid w:val="FFBB24F0"/>
    <w:rsid w:val="FFBCE03C"/>
    <w:rsid w:val="FFBF3EDE"/>
    <w:rsid w:val="FFC9CCF2"/>
    <w:rsid w:val="FFCFAE30"/>
    <w:rsid w:val="FFDB3E3B"/>
    <w:rsid w:val="FFDB67B0"/>
    <w:rsid w:val="FFF2E86D"/>
    <w:rsid w:val="FFF5300B"/>
    <w:rsid w:val="FFFB43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4"/>
    <w:uiPriority w:val="0"/>
    <w:pPr>
      <w:ind w:left="100" w:leftChars="2500"/>
    </w:pPr>
    <w:rPr>
      <w:rFonts w:ascii="仿宋_GB2312" w:eastAsia="仿宋_GB2312"/>
      <w:sz w:val="32"/>
    </w:rPr>
  </w:style>
  <w:style w:type="paragraph" w:styleId="4">
    <w:name w:val="Body Text Indent 2"/>
    <w:basedOn w:val="1"/>
    <w:unhideWhenUsed/>
    <w:uiPriority w:val="99"/>
    <w:pPr>
      <w:spacing w:before="100" w:beforeAutospacing="1" w:line="480" w:lineRule="auto"/>
      <w:ind w:left="420" w:leftChars="200"/>
    </w:pPr>
    <w:rPr>
      <w:rFonts w:ascii="Calibri" w:hAnsi="Calibri" w:eastAsia="宋体" w:cs="Times New Roman"/>
      <w:sz w:val="21"/>
      <w:szCs w:val="24"/>
      <w:lang w:bidi="ar-SA"/>
    </w:rPr>
  </w:style>
  <w:style w:type="paragraph" w:styleId="5">
    <w:name w:val="Balloon Text"/>
    <w:basedOn w:val="1"/>
    <w:link w:val="15"/>
    <w:semiHidden/>
    <w:uiPriority w:val="0"/>
    <w:rPr>
      <w:sz w:val="18"/>
      <w:szCs w:val="18"/>
    </w:rPr>
  </w:style>
  <w:style w:type="paragraph" w:styleId="6">
    <w:name w:val="footer"/>
    <w:basedOn w:val="1"/>
    <w:link w:val="16"/>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rFonts w:ascii="Calibri" w:hAnsi="Calibri" w:eastAsia="宋体" w:cs="黑体"/>
      <w:kern w:val="0"/>
      <w:sz w:val="24"/>
      <w:szCs w:val="22"/>
      <w:lang w:bidi="ar-SA"/>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paragraph" w:styleId="13">
    <w:name w:val="List Paragraph"/>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szCs w:val="22"/>
      <w:lang w:bidi="ar-SA"/>
    </w:rPr>
  </w:style>
  <w:style w:type="character" w:customStyle="1" w:styleId="14">
    <w:name w:val=" Char Char2"/>
    <w:basedOn w:val="11"/>
    <w:link w:val="3"/>
    <w:uiPriority w:val="0"/>
    <w:rPr>
      <w:rFonts w:ascii="仿宋_GB2312" w:hAnsi="Times New Roman" w:eastAsia="仿宋_GB2312" w:cs="Times New Roman"/>
      <w:kern w:val="2"/>
      <w:sz w:val="32"/>
      <w:szCs w:val="24"/>
      <w:lang w:bidi="ar-SA"/>
    </w:rPr>
  </w:style>
  <w:style w:type="character" w:customStyle="1" w:styleId="15">
    <w:name w:val="批注框文本 Char"/>
    <w:link w:val="5"/>
    <w:semiHidden/>
    <w:qFormat/>
    <w:uiPriority w:val="99"/>
    <w:rPr>
      <w:rFonts w:ascii="Times New Roman" w:hAnsi="Times New Roman" w:eastAsia="宋体" w:cs="Times New Roman"/>
      <w:sz w:val="18"/>
      <w:szCs w:val="18"/>
    </w:rPr>
  </w:style>
  <w:style w:type="character" w:customStyle="1" w:styleId="16">
    <w:name w:val=" Char Char"/>
    <w:basedOn w:val="11"/>
    <w:link w:val="6"/>
    <w:semiHidden/>
    <w:uiPriority w:val="99"/>
    <w:rPr>
      <w:rFonts w:ascii="Calibri" w:hAnsi="Calibri" w:eastAsia="宋体" w:cs="Mongolian Baiti"/>
      <w:kern w:val="2"/>
      <w:sz w:val="18"/>
      <w:szCs w:val="22"/>
    </w:rPr>
  </w:style>
  <w:style w:type="character" w:customStyle="1" w:styleId="17">
    <w:name w:val=" Char Char1"/>
    <w:basedOn w:val="11"/>
    <w:link w:val="7"/>
    <w:semiHidden/>
    <w:uiPriority w:val="99"/>
    <w:rPr>
      <w:rFonts w:ascii="Calibri" w:hAnsi="Calibri" w:eastAsia="宋体" w:cs="Mongolian Baiti"/>
      <w:kern w:val="2"/>
      <w:sz w:val="18"/>
      <w:szCs w:val="22"/>
    </w:rPr>
  </w:style>
  <w:style w:type="character" w:customStyle="1" w:styleId="18">
    <w:name w:val="页脚 Char"/>
    <w:qFormat/>
    <w:uiPriority w:val="99"/>
    <w:rPr>
      <w:rFonts w:ascii="Calibri" w:hAnsi="Calibri" w:eastAsia="宋体" w:cs="Times New Roman"/>
      <w:sz w:val="18"/>
      <w:szCs w:val="18"/>
    </w:rPr>
  </w:style>
  <w:style w:type="character" w:customStyle="1" w:styleId="19">
    <w:name w:val="日期 Char"/>
    <w:semiHidden/>
    <w:uiPriority w:val="99"/>
    <w:rPr>
      <w:rFonts w:ascii="Calibri" w:hAnsi="Calibri" w:eastAsia="宋体" w:cs="Times New Roman"/>
    </w:rPr>
  </w:style>
  <w:style w:type="character" w:customStyle="1" w:styleId="20">
    <w:name w:val="批注框文本 字符"/>
    <w:uiPriority w:val="0"/>
    <w:rPr>
      <w:rFonts w:ascii="Times New Roman" w:hAnsi="Times New Roman" w:eastAsia="仿宋_GB2312" w:cs="Times New Roman"/>
      <w:kern w:val="2"/>
      <w:sz w:val="18"/>
      <w:szCs w:val="18"/>
    </w:rPr>
  </w:style>
  <w:style w:type="character" w:customStyle="1" w:styleId="21">
    <w:name w:val="页眉 Char"/>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7</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2022-04-22T09:31:09Z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