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内蒙古自治区人民政府办公厅关于印发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《内蒙古自治区主席质量奖管理办法》的通知</w:t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内政办发〔2022〕86号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20" w:lineRule="exact"/>
        <w:ind w:left="0" w:lef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经自治区人民政府同意，现将《</w:t>
      </w:r>
      <w:r>
        <w:rPr>
          <w:rFonts w:hint="eastAsia" w:ascii="楷体_GB2312" w:hAnsi="楷体_GB2312" w:eastAsia="楷体_GB2312" w:cs="楷体_GB2312"/>
          <w:sz w:val="32"/>
          <w:szCs w:val="32"/>
        </w:rPr>
        <w:t>内蒙古自治区主席质量奖管理办法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》印发给你们，请结合实际，认真贯彻落实。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3200" w:firstLineChars="10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2022年12月12日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499" w:firstLineChars="15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内蒙古自治区主席质量奖管理办法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贯彻落实党的二十大精神，加快建设质量强区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，引导和激励全区各行各业加强质量管理，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追求卓越绩效，推动经济社会高质量发展，根据《中华人民共和国产品质量法》等法律法规和有关规定，结合自治区实际，制定本办法。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自治区主席质量奖（以下简称主席质量奖）是自治区人民政府设立的最高质量荣誉奖项，授予在自治区内推行先进质量管理方法、质量提升成绩显著、经济效益和社会效益突出、具有显著示范带动作用的企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主席质量奖每2年评选1次，每届质量奖的授奖总数为5个。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若无符合条件的单位，奖项可以空缺。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主席质量奖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不向评审对象收取费用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。评审工作经费由市场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部门在现有经费中统筹安排，资助资金列入获奖下一年度部门预算。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主席质量奖的评选坚持自愿申报、科学评审、公平公正公开的原则，严格标准、好中选优。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评审规则依据GB/T19580《卓越绩效评价准则》并结合自治区实际制定。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自治区标准化和质量强区工作领导小组（以下简称领导小组）负责主席质量奖评审工作，组织评审活动，审定评审规则、评选结果，向自治区人民政府提出主席质量奖拟授奖名单等事项。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负责主席质量奖日常工作，组织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制定、修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订评审规则，建立管理评审专家库，制定并组织实施评审工作计划、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方案，选定评审机构，监督评审工作，向领导小组报告评审结果，提出审议候选名单，组织宣传推广先进质量管理模式、方法，开展培训、培育工作，规范、监督主席质量奖荣誉和标志的使用。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各盟市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监督管理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负责本地区申报动员、推荐工作，自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治区各有关行业主管部门、行业组织负责本行业申报动员工作。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申报主席质量奖的单位，应当具备以下条件：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（一）依法在自治区内登记注册，具有独立法人资格，连续正常生产经营5年以上，符合国家和自治区产业、质量、环保、节能、安全等政策要求，具备有关资质或证照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518" w:firstLineChars="16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（二）质量管理体系健全，质量管理模式先进，建立标准体系，质量管理制度、模式、方法有创新并有效运行2年以上，且具有推广价值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（三）坚持“质量第一、效益优先”的发展理念，崇尚优秀质量文化，大力推进质量变革。从事生产经营活动的单位，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主要经济、技术指标和质量水平位居全区同行业前列；从事非营利性业务的单位，其社会贡献居自治区内同行业前列。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537" w:firstLineChars="1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（四）在质量发展、品牌建设、科技进步、标准创新、经济社会效益、节能降耗减排、生态环境保护和履行社会责任等方面取得突出成效。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（五）近3年无质量、安全、环境污染、公共卫生等事故，无相关违法、违规、违纪和失信记录。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评审过程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申报单位在自愿的基础上如实填写申报材料，在规定时限内将申报材料和相关证实性材料报送所在地盟市市场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盟市市场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部门应当会同盟市有关行业主管部门，对申报单位资格和申报材料完整性、真实性进行形式审查，对符合申报条件的出具推荐意见。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对申报单位资格和申报材料完整性进行复核，征询自治区有关行业行政主管部门意见，确定符合资格的名单并向社会公示。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第十四条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组织开展评审工作，包括材料评审、现场评审、陈述答辩。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499" w:firstLineChars="15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（一）材料评审。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组建材料评审专家组，开展材料评审工作，形成评审意见和材料评审分数，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综合各组评审结果确定进入现场评审单位名单。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499" w:firstLineChars="15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（二）现场评审。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组建现场评审专家组，对进入现场评审环节的申报单位质量管理实践、实施卓越绩效模式的过程结果等实地开展评价，形成评审意见和现场评审分数。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499" w:firstLineChars="15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（三）陈述答辩。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组建陈述答辩评审专家组，组织完成现场评审的申报单位主要负责人进行陈述答辩，专家组形成评审意见和陈述答辩分数。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根据现场评审和陈述答辩结果，对申报单位进行综合评分，研究提出拟授奖候选名单，向社会公开征求意见建议。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汇总评审报告及征求意见情况，提出主席质量奖拟授奖名单，提请领导小组审议。领导小组审议通过后，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向社会公示主席质量奖拟授奖名单，公示期为7个工作日。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表彰奖励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经公示无异议后，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报请自治区人民政府批准，由自治区人民政府通报表彰、颁发奖牌和证书。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自治区人民政府对获得主席质量奖的单位给予质量工作资助资金100万元。再次获得同一奖项的单位，不再给予质量工作资助资金。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获奖单位获得的质量工作资助资金主要用于开展质量技术攻关、持续推动质量改进、员工质量素质提升和实验室建设、先进质量管理经验宣传推广等，不得挪作他用。获奖单位应当配合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开展专项财政资金绩效评价。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评审工作人员与申报单位有利害关系的，本人应当主动回避。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参与主席质量奖评审的人员须严守工作纪律，保守申报单位的商业秘密、技术秘密。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申报单位应当主动申明申报材料中涉及的商业秘密或技术秘密。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申报单位对申报材料的真实性负责。对弄虚作假、采取不正当手段骗取主席质量奖荣誉的单位，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应提请自治区人民政府撤销其主席质量奖称号，收回奖牌、证书，追缴资助资金，向社会公告，5年内不受理其申报。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获奖单位在获得奖励后3年内发生较大质量和安全事故，或有严重违法违规生产经营行为的，由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提请自治区人民政府撤销奖励，并予以通报。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第二十五条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获奖单位可以在单位形象宣传中使用获奖称号，并注明获奖年份，但不得用于产品宣传，不得在产品或包装上标注主席质量奖标志和获奖称号。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获奖单位应当履行向社会推广其先进质量管理经验和方法的义务（涉及商业秘密的除外），积极参与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组织开展的推广、宣传活动。积极履行社会责任，发挥好模范带动作用。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第二十七条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获奖单位在获奖3年内，每年应当如实填写《自治区主席质量奖绩效报告》，按时报送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自治区市场监督管理局（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第二十八条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主席质量奖奖牌、证书由自治区人民政府授予，任何单位不得伪造、冒用。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第二十九条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本办法自印发之日起施行。原《内蒙古自治区主席质量奖管理办法》（内政办发〔2019〕7号）同时废止。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100" w:lineRule="exact"/>
        <w:ind w:left="0" w:leftChars="0"/>
        <w:textAlignment w:val="auto"/>
        <w:rPr>
          <w:rFonts w:hint="eastAsia"/>
        </w:rPr>
      </w:pPr>
    </w:p>
    <w:tbl>
      <w:tblPr>
        <w:tblStyle w:val="9"/>
        <w:tblpPr w:leftFromText="180" w:rightFromText="180" w:vertAnchor="text" w:horzAnchor="page" w:tblpX="1534" w:tblpY="971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ind w:firstLine="1148" w:firstLineChars="41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92" w:y="-23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A3EF9C8C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23B43DC"/>
    <w:rsid w:val="074D26E8"/>
    <w:rsid w:val="0AE918B4"/>
    <w:rsid w:val="13404ED0"/>
    <w:rsid w:val="197E4CFE"/>
    <w:rsid w:val="1A7D41CF"/>
    <w:rsid w:val="1FD3237E"/>
    <w:rsid w:val="21CE0EBF"/>
    <w:rsid w:val="220A097B"/>
    <w:rsid w:val="229E686D"/>
    <w:rsid w:val="24485B15"/>
    <w:rsid w:val="2A087D13"/>
    <w:rsid w:val="2B9B194E"/>
    <w:rsid w:val="31FF461C"/>
    <w:rsid w:val="359F571F"/>
    <w:rsid w:val="4A9D5C6F"/>
    <w:rsid w:val="4BB12688"/>
    <w:rsid w:val="51650C56"/>
    <w:rsid w:val="53C003BC"/>
    <w:rsid w:val="57FF2F9E"/>
    <w:rsid w:val="5BAE3879"/>
    <w:rsid w:val="63C96783"/>
    <w:rsid w:val="64B86B45"/>
    <w:rsid w:val="6F2C465B"/>
    <w:rsid w:val="6F6F634F"/>
    <w:rsid w:val="7768B730"/>
    <w:rsid w:val="7826374B"/>
    <w:rsid w:val="7B3FE540"/>
    <w:rsid w:val="7BF51481"/>
    <w:rsid w:val="7BFDB54E"/>
    <w:rsid w:val="7D164783"/>
    <w:rsid w:val="7DFBDE58"/>
    <w:rsid w:val="7E960D71"/>
    <w:rsid w:val="7FDF7C4F"/>
    <w:rsid w:val="86F7E93C"/>
    <w:rsid w:val="A3EF9C8C"/>
    <w:rsid w:val="E636F02D"/>
    <w:rsid w:val="F3FB43E7"/>
    <w:rsid w:val="F9B76844"/>
    <w:rsid w:val="FF769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line="480" w:lineRule="auto"/>
      <w:ind w:left="420" w:leftChars="200"/>
    </w:pPr>
    <w:rPr>
      <w:rFonts w:ascii="Calibri" w:hAnsi="Calibri" w:eastAsia="宋体" w:cs="Times New Roman"/>
      <w:sz w:val="21"/>
      <w:szCs w:val="24"/>
      <w:lang w:bidi="ar-SA"/>
    </w: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Date"/>
    <w:basedOn w:val="1"/>
    <w:next w:val="1"/>
    <w:link w:val="13"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仿宋_GB2312" w:hAnsi="仿宋_GB2312" w:eastAsia="仿宋_GB2312" w:cs="Times New Roman"/>
      <w:kern w:val="0"/>
      <w:sz w:val="24"/>
      <w:szCs w:val="24"/>
      <w:lang w:bidi="ar-SA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customStyle="1" w:styleId="13">
    <w:name w:val=" Char Char2"/>
    <w:basedOn w:val="11"/>
    <w:link w:val="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4">
    <w:name w:val=" Char Char"/>
    <w:basedOn w:val="11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5">
    <w:name w:val=" Char Char1"/>
    <w:basedOn w:val="11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8</Pages>
  <Words>2886</Words>
  <Characters>2913</Characters>
  <Lines>1</Lines>
  <Paragraphs>1</Paragraphs>
  <TotalTime>29</TotalTime>
  <ScaleCrop>false</ScaleCrop>
  <LinksUpToDate>false</LinksUpToDate>
  <CharactersWithSpaces>3009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2012-09-19T20:59:00Z</dcterms:created>
  <dc:creator>阿拉善盟行政公署:打印</dc:creator>
  <cp:lastModifiedBy>哈尼哈尼</cp:lastModifiedBy>
  <dcterms:modified xsi:type="dcterms:W3CDTF">2022-12-19T09:13:50Z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91850F6B8740492083D2EE1FBB448F50</vt:lpwstr>
  </property>
</Properties>
</file>