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580" w:lineRule="exact"/>
        <w:ind w:left="0" w:leftChars="0"/>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rPr>
        <w:t>附件</w:t>
      </w:r>
      <w:r>
        <w:rPr>
          <w:rFonts w:hint="eastAsia" w:ascii="黑体" w:hAnsi="黑体" w:eastAsia="黑体" w:cs="宋体"/>
          <w:bCs/>
          <w:color w:val="auto"/>
          <w:kern w:val="0"/>
          <w:sz w:val="32"/>
          <w:szCs w:val="32"/>
          <w:lang w:val="en-US" w:eastAsia="zh-CN"/>
        </w:rPr>
        <w:t>2</w:t>
      </w:r>
    </w:p>
    <w:p>
      <w:pPr>
        <w:pStyle w:val="6"/>
        <w:keepNext w:val="0"/>
        <w:keepLines w:val="0"/>
        <w:pageBreakBefore w:val="0"/>
        <w:widowControl w:val="0"/>
        <w:wordWrap/>
        <w:overflowPunct/>
        <w:topLinePunct w:val="0"/>
        <w:bidi w:val="0"/>
        <w:spacing w:after="0" w:line="580" w:lineRule="exact"/>
        <w:ind w:left="0" w:leftChars="0"/>
        <w:rPr>
          <w:color w:val="auto"/>
        </w:rPr>
      </w:pPr>
    </w:p>
    <w:p>
      <w:pPr>
        <w:pStyle w:val="5"/>
        <w:keepNext w:val="0"/>
        <w:keepLines w:val="0"/>
        <w:pageBreakBefore w:val="0"/>
        <w:widowControl w:val="0"/>
        <w:shd w:val="clear" w:color="auto" w:fill="FFFFFF"/>
        <w:wordWrap/>
        <w:overflowPunct/>
        <w:topLinePunct w:val="0"/>
        <w:bidi w:val="0"/>
        <w:spacing w:before="0" w:beforeAutospacing="0" w:after="0" w:afterAutospacing="0" w:line="580" w:lineRule="exact"/>
        <w:ind w:left="0" w:leftChars="0"/>
        <w:jc w:val="center"/>
        <w:rPr>
          <w:rFonts w:hint="eastAsia" w:ascii="方正小标宋_GBK" w:hAnsi="方正小标宋_GBK" w:eastAsia="方正小标宋_GBK" w:cs="方正小标宋_GBK"/>
          <w:b/>
          <w:color w:val="auto"/>
          <w:spacing w:val="40"/>
          <w:sz w:val="44"/>
          <w:szCs w:val="44"/>
        </w:rPr>
      </w:pPr>
      <w:bookmarkStart w:id="0" w:name="_GoBack"/>
      <w:r>
        <w:rPr>
          <w:rStyle w:val="9"/>
          <w:rFonts w:hint="eastAsia" w:ascii="方正小标宋_GBK" w:hAnsi="方正小标宋_GBK" w:eastAsia="方正小标宋_GBK" w:cs="方正小标宋_GBK"/>
          <w:b w:val="0"/>
          <w:color w:val="auto"/>
          <w:spacing w:val="40"/>
          <w:sz w:val="44"/>
          <w:szCs w:val="44"/>
          <w:shd w:val="clear" w:color="auto" w:fill="FFFFFF"/>
        </w:rPr>
        <w:t>突发环境事件分级标准</w:t>
      </w:r>
    </w:p>
    <w:bookmarkEnd w:id="0"/>
    <w:p>
      <w:pPr>
        <w:pStyle w:val="5"/>
        <w:keepNext w:val="0"/>
        <w:keepLines w:val="0"/>
        <w:pageBreakBefore w:val="0"/>
        <w:widowControl w:val="0"/>
        <w:shd w:val="clear" w:color="auto" w:fill="FFFFFF"/>
        <w:wordWrap/>
        <w:overflowPunct/>
        <w:topLinePunct w:val="0"/>
        <w:bidi w:val="0"/>
        <w:spacing w:before="0" w:beforeAutospacing="0" w:after="0" w:afterAutospacing="0" w:line="580" w:lineRule="exact"/>
        <w:ind w:left="0" w:leftChars="0"/>
        <w:rPr>
          <w:rStyle w:val="9"/>
          <w:rFonts w:ascii="宋体" w:hAnsi="宋体" w:cs="宋体"/>
          <w:color w:val="auto"/>
          <w:sz w:val="32"/>
          <w:szCs w:val="32"/>
          <w:shd w:val="clear" w:color="auto" w:fill="FFFFFF"/>
        </w:rPr>
      </w:pPr>
    </w:p>
    <w:p>
      <w:pPr>
        <w:pStyle w:val="5"/>
        <w:keepNext w:val="0"/>
        <w:keepLines w:val="0"/>
        <w:pageBreakBefore w:val="0"/>
        <w:widowControl w:val="0"/>
        <w:shd w:val="clear" w:color="auto" w:fill="FFFFFF"/>
        <w:wordWrap/>
        <w:overflowPunct/>
        <w:topLinePunct w:val="0"/>
        <w:bidi w:val="0"/>
        <w:spacing w:before="0" w:beforeAutospacing="0" w:after="0" w:afterAutospacing="0" w:line="580" w:lineRule="exact"/>
        <w:ind w:left="0" w:leftChars="0" w:firstLine="640" w:firstLineChars="200"/>
        <w:outlineLvl w:val="1"/>
        <w:rPr>
          <w:rFonts w:hint="eastAsia" w:ascii="方正黑体_GBK" w:hAnsi="方正黑体_GBK" w:eastAsia="方正黑体_GBK" w:cs="方正黑体_GBK"/>
          <w:b/>
          <w:color w:val="auto"/>
          <w:sz w:val="32"/>
          <w:szCs w:val="32"/>
        </w:rPr>
      </w:pPr>
      <w:r>
        <w:rPr>
          <w:rStyle w:val="9"/>
          <w:rFonts w:hint="eastAsia" w:ascii="方正黑体_GBK" w:hAnsi="方正黑体_GBK" w:eastAsia="方正黑体_GBK" w:cs="方正黑体_GBK"/>
          <w:b w:val="0"/>
          <w:color w:val="auto"/>
          <w:sz w:val="32"/>
          <w:szCs w:val="32"/>
          <w:shd w:val="clear" w:color="auto" w:fill="FFFFFF"/>
        </w:rPr>
        <w:t>一、特别重大突发环境事件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符合下列情形之一的，为特别重大突发环境事件：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因环境污染直接导致30人以上死亡或100人以上中毒或重伤的；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因环境污染疏散、转移人员5万人以上的；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因环境污染造成直接经济损失1亿元以上的；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因环境污染造成区域生态功能丧失或该区域国家重点保护物种灭绝的；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z w:val="32"/>
          <w:szCs w:val="32"/>
        </w:rPr>
        <w:t>因环境污染造成设区的市级以上城市集中式饮用水水源地取水中断的；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wordWrap/>
        <w:overflowPunct/>
        <w:topLinePunct w:val="0"/>
        <w:bidi w:val="0"/>
        <w:spacing w:line="580" w:lineRule="exact"/>
        <w:ind w:left="0" w:leftChars="0"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造成重大跨国境影响的境内突发环境事件。</w:t>
      </w:r>
    </w:p>
    <w:p>
      <w:pPr>
        <w:pStyle w:val="5"/>
        <w:keepNext w:val="0"/>
        <w:keepLines w:val="0"/>
        <w:pageBreakBefore w:val="0"/>
        <w:widowControl w:val="0"/>
        <w:shd w:val="clear" w:color="auto" w:fill="FFFFFF"/>
        <w:wordWrap/>
        <w:overflowPunct/>
        <w:topLinePunct w:val="0"/>
        <w:bidi w:val="0"/>
        <w:spacing w:before="0" w:beforeAutospacing="0" w:after="0" w:afterAutospacing="0" w:line="580" w:lineRule="exact"/>
        <w:ind w:left="0" w:leftChars="0" w:firstLine="640" w:firstLineChars="200"/>
        <w:outlineLvl w:val="1"/>
        <w:rPr>
          <w:rFonts w:hint="eastAsia" w:ascii="方正黑体_GBK" w:hAnsi="方正黑体_GBK" w:eastAsia="方正黑体_GBK" w:cs="方正黑体_GBK"/>
          <w:b/>
          <w:color w:val="auto"/>
          <w:sz w:val="32"/>
          <w:szCs w:val="32"/>
        </w:rPr>
      </w:pPr>
      <w:r>
        <w:rPr>
          <w:rStyle w:val="9"/>
          <w:rFonts w:hint="eastAsia" w:ascii="方正黑体_GBK" w:hAnsi="方正黑体_GBK" w:eastAsia="方正黑体_GBK" w:cs="方正黑体_GBK"/>
          <w:b w:val="0"/>
          <w:color w:val="auto"/>
          <w:sz w:val="32"/>
          <w:szCs w:val="32"/>
          <w:shd w:val="clear" w:color="auto" w:fill="FFFFFF"/>
        </w:rPr>
        <w:t>二、重大突发环境事件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符合下列情形之一的，为重大突发环境事件：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因环境污染直接导致10人以上30人以下死亡或50人以上100人以下中毒或重伤的；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因环境污染疏散、转移人员1万人以上5万人以下的；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因环境污染造成直接经济损失2000万元以上1亿元以下的；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因环境污染造成区域生态功能部分丧失或该区域国家重点保护野生动植物种群大批死亡的；</w:t>
      </w:r>
    </w:p>
    <w:p>
      <w:pPr>
        <w:keepNext w:val="0"/>
        <w:keepLines w:val="0"/>
        <w:pageBreakBefore w:val="0"/>
        <w:widowControl w:val="0"/>
        <w:wordWrap/>
        <w:overflowPunct/>
        <w:topLinePunct w:val="0"/>
        <w:bidi w:val="0"/>
        <w:spacing w:line="580" w:lineRule="exact"/>
        <w:ind w:left="0" w:leftChars="0"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pacing w:val="-6"/>
          <w:sz w:val="32"/>
          <w:szCs w:val="32"/>
        </w:rPr>
        <w:t>因环境污染造成旗县集中式饮用水水源地取水中断的；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Ⅱ类放射源丢失、被盗的；放射性同位素和射线装置失控导致3人以下急性死亡或者10人以上急性重度放射病、局部器官残疾的；放射性物质泄漏，造成较大范围辐射污染后果的；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wordWrap/>
        <w:overflowPunct/>
        <w:topLinePunct w:val="0"/>
        <w:bidi w:val="0"/>
        <w:spacing w:line="580" w:lineRule="exact"/>
        <w:ind w:left="0" w:leftChars="0"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造成跨省级行政区域影响的突发环境事件。</w:t>
      </w:r>
    </w:p>
    <w:p>
      <w:pPr>
        <w:pStyle w:val="5"/>
        <w:keepNext w:val="0"/>
        <w:keepLines w:val="0"/>
        <w:pageBreakBefore w:val="0"/>
        <w:widowControl w:val="0"/>
        <w:shd w:val="clear" w:color="auto" w:fill="FFFFFF"/>
        <w:wordWrap/>
        <w:overflowPunct/>
        <w:topLinePunct w:val="0"/>
        <w:bidi w:val="0"/>
        <w:spacing w:before="0" w:beforeAutospacing="0" w:after="0" w:afterAutospacing="0" w:line="580" w:lineRule="exact"/>
        <w:ind w:left="0" w:leftChars="0" w:firstLine="640" w:firstLineChars="200"/>
        <w:outlineLvl w:val="1"/>
        <w:rPr>
          <w:rFonts w:hint="eastAsia" w:ascii="方正黑体_GBK" w:hAnsi="方正黑体_GBK" w:eastAsia="方正黑体_GBK" w:cs="方正黑体_GBK"/>
          <w:b/>
          <w:color w:val="auto"/>
          <w:sz w:val="32"/>
          <w:szCs w:val="32"/>
        </w:rPr>
      </w:pPr>
      <w:r>
        <w:rPr>
          <w:rStyle w:val="9"/>
          <w:rFonts w:hint="eastAsia" w:ascii="方正黑体_GBK" w:hAnsi="方正黑体_GBK" w:eastAsia="方正黑体_GBK" w:cs="方正黑体_GBK"/>
          <w:b w:val="0"/>
          <w:color w:val="auto"/>
          <w:sz w:val="32"/>
          <w:szCs w:val="32"/>
          <w:shd w:val="clear" w:color="auto" w:fill="FFFFFF"/>
        </w:rPr>
        <w:t>三、较大突发环境事件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符合下列情形之一的，为较大突发环境事件：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因环境污染直接导致3人以上10人以下死亡或10人以上50人以下中毒或重伤的；</w:t>
      </w:r>
    </w:p>
    <w:p>
      <w:pPr>
        <w:keepNext w:val="0"/>
        <w:keepLines w:val="0"/>
        <w:pageBreakBefore w:val="0"/>
        <w:widowControl w:val="0"/>
        <w:wordWrap/>
        <w:overflowPunct/>
        <w:topLinePunct w:val="0"/>
        <w:bidi w:val="0"/>
        <w:spacing w:line="580" w:lineRule="exact"/>
        <w:ind w:left="0" w:leftChars="0"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环境污染疏散、转移人员5000人以上1万人以下的；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因环境污染造成直接经济损失500万元以上2000万元以下的；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pacing w:val="6"/>
          <w:sz w:val="32"/>
          <w:szCs w:val="32"/>
        </w:rPr>
      </w:pP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pacing w:val="6"/>
          <w:sz w:val="32"/>
          <w:szCs w:val="32"/>
        </w:rPr>
        <w:t>因环境污染造成国家重点保护的动植物物种受到破坏的；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pacing w:val="-6"/>
          <w:sz w:val="32"/>
          <w:szCs w:val="32"/>
        </w:rPr>
        <w:t>因环境污染造成乡镇集中式饮用水水源地取水中断的；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Ⅲ类放射源丢失、被盗的；放射性同位素和射线装置失控导致10人以下急性重度放射病、局部器官残疾的；放射性物质泄漏，造成小范围辐射污染后果的；</w:t>
      </w:r>
    </w:p>
    <w:p>
      <w:pPr>
        <w:keepNext w:val="0"/>
        <w:keepLines w:val="0"/>
        <w:pageBreakBefore w:val="0"/>
        <w:widowControl w:val="0"/>
        <w:wordWrap/>
        <w:overflowPunct/>
        <w:topLinePunct w:val="0"/>
        <w:bidi w:val="0"/>
        <w:spacing w:line="580" w:lineRule="exact"/>
        <w:ind w:left="0" w:leftChars="0"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造成跨设区的市级行政区域影响的突发环境事件。</w:t>
      </w:r>
    </w:p>
    <w:p>
      <w:pPr>
        <w:pStyle w:val="5"/>
        <w:keepNext w:val="0"/>
        <w:keepLines w:val="0"/>
        <w:pageBreakBefore w:val="0"/>
        <w:widowControl w:val="0"/>
        <w:shd w:val="clear" w:color="auto" w:fill="FFFFFF"/>
        <w:wordWrap/>
        <w:overflowPunct/>
        <w:topLinePunct w:val="0"/>
        <w:bidi w:val="0"/>
        <w:spacing w:before="0" w:beforeAutospacing="0" w:after="0" w:afterAutospacing="0" w:line="580" w:lineRule="exact"/>
        <w:ind w:left="0" w:leftChars="0" w:firstLine="640" w:firstLineChars="200"/>
        <w:outlineLvl w:val="1"/>
        <w:rPr>
          <w:rFonts w:hint="eastAsia" w:ascii="方正黑体_GBK" w:hAnsi="方正黑体_GBK" w:eastAsia="方正黑体_GBK" w:cs="方正黑体_GBK"/>
          <w:b/>
          <w:color w:val="auto"/>
          <w:sz w:val="32"/>
          <w:szCs w:val="32"/>
        </w:rPr>
      </w:pPr>
      <w:r>
        <w:rPr>
          <w:rStyle w:val="9"/>
          <w:rFonts w:hint="eastAsia" w:ascii="方正黑体_GBK" w:hAnsi="方正黑体_GBK" w:eastAsia="方正黑体_GBK" w:cs="方正黑体_GBK"/>
          <w:b w:val="0"/>
          <w:color w:val="auto"/>
          <w:sz w:val="32"/>
          <w:szCs w:val="32"/>
          <w:shd w:val="clear" w:color="auto" w:fill="FFFFFF"/>
        </w:rPr>
        <w:t>四、一般突发环境事件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符合下列情形之一的，为一般突发环境事件：</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因环境污染直接导致3人以下死亡或10人以下中毒或重伤的；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因环境污染疏散、转移人员5000人以下的；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因环境污染造成直接经济损失500万元以下的；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因环境污染造成跨县级行政区域纠纷，引起一般性群体影响的；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z w:val="32"/>
          <w:szCs w:val="32"/>
        </w:rPr>
        <w:t>Ⅳ、Ⅴ类放射源丢失、被盗的；放射性同位素和射线装置失控导致人员受到超过年剂量限值的照射的；放射性物质泄漏，造成厂区内或设施内局部辐射污染后果的；铀矿冶、伴生矿超标排放，造成环境辐射污染后果的；</w:t>
      </w:r>
    </w:p>
    <w:p>
      <w:pPr>
        <w:keepNext w:val="0"/>
        <w:keepLines w:val="0"/>
        <w:pageBreakBefore w:val="0"/>
        <w:widowControl w:val="0"/>
        <w:wordWrap/>
        <w:overflowPunct/>
        <w:topLinePunct w:val="0"/>
        <w:bidi w:val="0"/>
        <w:spacing w:line="580" w:lineRule="exact"/>
        <w:ind w:left="0" w:leftChars="0"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对环境造成一定影响，尚未达到较大突发环境事件级别的。</w:t>
      </w:r>
    </w:p>
    <w:p>
      <w:pPr>
        <w:keepNext w:val="0"/>
        <w:keepLines w:val="0"/>
        <w:pageBreakBefore w:val="0"/>
        <w:widowControl w:val="0"/>
        <w:wordWrap/>
        <w:overflowPunct/>
        <w:topLinePunct w:val="0"/>
        <w:bidi w:val="0"/>
        <w:spacing w:line="580" w:lineRule="exact"/>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上述分级标准有关数量的表述中，“以上”含本数，“以下”不含本数。</w:t>
      </w:r>
    </w:p>
    <w:p>
      <w:pPr>
        <w:keepNext w:val="0"/>
        <w:keepLines w:val="0"/>
        <w:pageBreakBefore w:val="0"/>
        <w:widowControl w:val="0"/>
        <w:wordWrap/>
        <w:overflowPunct/>
        <w:topLinePunct w:val="0"/>
        <w:bidi w:val="0"/>
        <w:spacing w:line="560" w:lineRule="exact"/>
        <w:rPr>
          <w:rFonts w:hint="eastAsia" w:ascii="仿宋_GB2312" w:hAnsi="仿宋_GB2312" w:eastAsia="仿宋_GB2312" w:cs="仿宋_GB2312"/>
          <w:b/>
          <w:bCs/>
          <w:color w:val="auto"/>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390637D0"/>
    <w:rsid w:val="390637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ascii="Calibri" w:hAnsi="Calibri" w:eastAsia="宋体" w:cs="Times New Roman"/>
      <w:szCs w:val="22"/>
      <w:lang w:bidi="ar-SA"/>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2"/>
      <w:lang w:bidi="ar-SA"/>
    </w:rPr>
  </w:style>
  <w:style w:type="paragraph" w:styleId="6">
    <w:name w:val="Body Text First Indent 2"/>
    <w:basedOn w:val="2"/>
    <w:next w:val="1"/>
    <w:qFormat/>
    <w:uiPriority w:val="99"/>
    <w:pPr>
      <w:widowControl w:val="0"/>
      <w:spacing w:line="500" w:lineRule="exact"/>
      <w:ind w:firstLine="420" w:firstLineChars="200"/>
      <w:jc w:val="both"/>
    </w:pPr>
    <w:rPr>
      <w:rFonts w:hint="eastAsia" w:ascii="仿宋_GB2312" w:hAnsi="Times New Roman" w:eastAsia="仿宋_GB2312" w:cs="Times New Roman"/>
      <w:kern w:val="2"/>
      <w:sz w:val="32"/>
      <w:szCs w:val="32"/>
      <w:lang w:val="en-US" w:eastAsia="zh-CN" w:bidi="ar-SA"/>
    </w:rPr>
  </w:style>
  <w:style w:type="character" w:styleId="9">
    <w:name w:val="Strong"/>
    <w:basedOn w:val="8"/>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2022-12-30T09:50:00Z</dcterms:created>
  <dc:creator>哈尼哈尼</dc:creator>
  <cp:lastModifiedBy>哈尼哈尼</cp:lastModifiedBy>
  <dcterms:modified xsi:type="dcterms:W3CDTF">2022-12-30T09:50:21Z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3D615ED09D034D73992FAF498B6CDF8D</vt:lpwstr>
  </property>
</Properties>
</file>