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autoSpaceDE/>
        <w:autoSpaceDN/>
        <w:bidi w:val="0"/>
        <w:adjustRightInd/>
        <w:snapToGrid/>
        <w:spacing w:beforeAutospacing="0" w:afterAutospacing="0" w:line="580" w:lineRule="exact"/>
        <w:jc w:val="center"/>
        <w:textAlignment w:val="auto"/>
        <w:rPr>
          <w:rFonts w:hint="eastAsia" w:ascii="方正小标宋简体" w:hAnsi="宋体" w:eastAsia="方正小标宋简体" w:cs="Times New Roman"/>
          <w:sz w:val="44"/>
          <w:szCs w:val="44"/>
        </w:rPr>
      </w:pPr>
    </w:p>
    <w:p>
      <w:pPr>
        <w:keepNext w:val="0"/>
        <w:keepLines w:val="0"/>
        <w:pageBreakBefore w:val="0"/>
        <w:widowControl w:val="0"/>
        <w:kinsoku/>
        <w:wordWrap/>
        <w:overflowPunct/>
        <w:topLinePunct/>
        <w:autoSpaceDE/>
        <w:autoSpaceDN/>
        <w:bidi w:val="0"/>
        <w:adjustRightInd/>
        <w:snapToGrid/>
        <w:spacing w:beforeAutospacing="0" w:afterAutospacing="0" w:line="580" w:lineRule="exact"/>
        <w:jc w:val="center"/>
        <w:textAlignment w:val="auto"/>
        <w:rPr>
          <w:rFonts w:hint="eastAsia" w:ascii="方正小标宋简体" w:hAnsi="宋体" w:eastAsia="方正小标宋简体" w:cs="Times New Roman"/>
          <w:sz w:val="44"/>
          <w:szCs w:val="44"/>
        </w:rPr>
      </w:pPr>
      <w:r>
        <w:rPr>
          <w:rFonts w:hint="eastAsia" w:ascii="方正小标宋简体" w:hAnsi="宋体" w:eastAsia="方正小标宋简体" w:cs="Times New Roman"/>
          <w:sz w:val="44"/>
          <w:szCs w:val="44"/>
        </w:rPr>
        <w:t>内蒙古自治区人民政府关于《巴彦淖尔市</w:t>
      </w:r>
    </w:p>
    <w:p>
      <w:pPr>
        <w:keepNext w:val="0"/>
        <w:keepLines w:val="0"/>
        <w:pageBreakBefore w:val="0"/>
        <w:widowControl w:val="0"/>
        <w:kinsoku/>
        <w:wordWrap/>
        <w:overflowPunct/>
        <w:topLinePunct/>
        <w:autoSpaceDE/>
        <w:autoSpaceDN/>
        <w:bidi w:val="0"/>
        <w:adjustRightInd/>
        <w:snapToGrid/>
        <w:spacing w:beforeAutospacing="0" w:afterAutospacing="0" w:line="580" w:lineRule="exact"/>
        <w:jc w:val="center"/>
        <w:textAlignment w:val="auto"/>
        <w:rPr>
          <w:rFonts w:hint="eastAsia" w:ascii="方正小标宋简体" w:hAnsi="宋体" w:eastAsia="方正小标宋简体" w:cs="Times New Roman"/>
          <w:sz w:val="44"/>
          <w:szCs w:val="44"/>
        </w:rPr>
      </w:pPr>
      <w:r>
        <w:rPr>
          <w:rFonts w:hint="eastAsia" w:ascii="方正小标宋简体" w:hAnsi="宋体" w:eastAsia="方正小标宋简体" w:cs="Times New Roman"/>
          <w:sz w:val="44"/>
          <w:szCs w:val="44"/>
        </w:rPr>
        <w:t>国土空间总体规划（2021—2035年）》的批复</w:t>
      </w:r>
    </w:p>
    <w:p>
      <w:pPr>
        <w:pStyle w:val="2"/>
        <w:rPr>
          <w:rFonts w:hint="eastAsia"/>
        </w:rPr>
      </w:pPr>
    </w:p>
    <w:p>
      <w:pPr>
        <w:pStyle w:val="2"/>
      </w:pPr>
      <w:r>
        <w:rPr>
          <w:rFonts w:hint="eastAsia" w:ascii="仿宋_GB2312" w:eastAsia="仿宋_GB2312"/>
          <w:sz w:val="32"/>
          <w:szCs w:val="32"/>
        </w:rPr>
        <w:t>内政字〔</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4</w:t>
      </w:r>
      <w:r>
        <w:rPr>
          <w:rFonts w:hint="eastAsia" w:ascii="仿宋_GB2312" w:eastAsia="仿宋_GB2312"/>
          <w:sz w:val="32"/>
          <w:szCs w:val="32"/>
        </w:rPr>
        <w:t>〕</w:t>
      </w:r>
      <w:r>
        <w:rPr>
          <w:rFonts w:hint="eastAsia" w:ascii="仿宋_GB2312" w:eastAsia="仿宋_GB2312"/>
          <w:sz w:val="32"/>
          <w:szCs w:val="32"/>
          <w:lang w:val="en-US" w:eastAsia="zh-CN"/>
        </w:rPr>
        <w:t>58</w:t>
      </w:r>
      <w:r>
        <w:rPr>
          <w:rFonts w:hint="eastAsia" w:ascii="仿宋_GB2312" w:eastAsia="仿宋_GB2312"/>
          <w:sz w:val="32"/>
          <w:szCs w:val="32"/>
        </w:rPr>
        <w:t>号</w:t>
      </w:r>
    </w:p>
    <w:p>
      <w:pPr>
        <w:pStyle w:val="17"/>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580" w:lineRule="exact"/>
        <w:textAlignment w:val="auto"/>
        <w:rPr>
          <w:rFonts w:ascii="Times New Roman" w:hAnsi="Times New Roman" w:eastAsia="仿宋_GB2312"/>
          <w:sz w:val="32"/>
          <w:szCs w:val="32"/>
          <w:shd w:val="clear" w:color="auto" w:fill="FFFFFF"/>
        </w:rPr>
      </w:pPr>
      <w:bookmarkStart w:id="0" w:name="_GoBack"/>
      <w:r>
        <w:rPr>
          <w:rFonts w:ascii="Times New Roman" w:hAnsi="Times New Roman" w:eastAsia="仿宋_GB2312"/>
          <w:sz w:val="32"/>
          <w:szCs w:val="32"/>
          <w:shd w:val="clear" w:color="auto" w:fill="FFFFFF"/>
        </w:rPr>
        <w:t>巴彦淖尔市人民政府：</w:t>
      </w:r>
    </w:p>
    <w:p>
      <w:pPr>
        <w:pStyle w:val="17"/>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580" w:lineRule="exact"/>
        <w:ind w:firstLine="640" w:firstLineChars="200"/>
        <w:textAlignment w:val="auto"/>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你市《关于报送〈巴彦淖尔市国土空间总体规划（2021</w:t>
      </w:r>
      <w:r>
        <w:rPr>
          <w:rFonts w:hint="eastAsia" w:ascii="Times New Roman" w:hAnsi="Times New Roman" w:eastAsia="仿宋_GB2312"/>
          <w:sz w:val="32"/>
          <w:szCs w:val="32"/>
          <w:shd w:val="clear" w:color="auto" w:fill="FFFFFF"/>
        </w:rPr>
        <w:t>—</w:t>
      </w:r>
      <w:r>
        <w:rPr>
          <w:rFonts w:ascii="Times New Roman" w:hAnsi="Times New Roman" w:eastAsia="仿宋_GB2312"/>
          <w:sz w:val="32"/>
          <w:szCs w:val="32"/>
          <w:shd w:val="clear" w:color="auto" w:fill="FFFFFF"/>
        </w:rPr>
        <w:t>2035年）〉的请示》（巴政报〔2023〕60号）收悉。现批复如下：</w:t>
      </w:r>
    </w:p>
    <w:p>
      <w:pPr>
        <w:pStyle w:val="17"/>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580" w:lineRule="exact"/>
        <w:ind w:firstLine="640" w:firstLineChars="200"/>
        <w:textAlignment w:val="auto"/>
        <w:rPr>
          <w:rFonts w:ascii="Times New Roman" w:hAnsi="Times New Roman" w:eastAsia="仿宋_GB2312"/>
          <w:color w:val="000000"/>
          <w:spacing w:val="-11"/>
          <w:sz w:val="32"/>
          <w:szCs w:val="32"/>
          <w:shd w:val="clear" w:color="auto" w:fill="FFFFFF"/>
        </w:rPr>
      </w:pPr>
      <w:r>
        <w:rPr>
          <w:rFonts w:ascii="Times New Roman" w:hAnsi="Times New Roman" w:eastAsia="仿宋_GB2312"/>
          <w:sz w:val="32"/>
          <w:szCs w:val="32"/>
          <w:shd w:val="clear" w:color="auto" w:fill="FFFFFF"/>
        </w:rPr>
        <w:t>一、</w:t>
      </w:r>
      <w:r>
        <w:rPr>
          <w:rFonts w:ascii="Times New Roman" w:hAnsi="Times New Roman" w:eastAsia="仿宋_GB2312"/>
          <w:spacing w:val="-6"/>
          <w:sz w:val="32"/>
          <w:szCs w:val="32"/>
          <w:shd w:val="clear" w:color="auto" w:fill="FFFFFF"/>
        </w:rPr>
        <w:t>原则同意</w:t>
      </w:r>
      <w:r>
        <w:rPr>
          <w:rFonts w:hint="eastAsia" w:ascii="Times New Roman" w:hAnsi="Times New Roman" w:eastAsia="仿宋_GB2312"/>
          <w:color w:val="000000"/>
          <w:spacing w:val="-6"/>
          <w:sz w:val="32"/>
          <w:szCs w:val="32"/>
          <w:shd w:val="clear" w:color="auto" w:fill="FFFFFF"/>
          <w:lang w:eastAsia="zh-CN"/>
        </w:rPr>
        <w:t>自治区有关部门联合审查通过的</w:t>
      </w:r>
      <w:r>
        <w:rPr>
          <w:rFonts w:ascii="Times New Roman" w:hAnsi="Times New Roman" w:eastAsia="仿宋_GB2312"/>
          <w:spacing w:val="-6"/>
          <w:sz w:val="32"/>
          <w:szCs w:val="32"/>
          <w:shd w:val="clear" w:color="auto" w:fill="FFFFFF"/>
        </w:rPr>
        <w:t>《巴彦淖尔市国土空间</w:t>
      </w:r>
      <w:r>
        <w:rPr>
          <w:rFonts w:ascii="Times New Roman" w:hAnsi="Times New Roman" w:eastAsia="仿宋_GB2312"/>
          <w:sz w:val="32"/>
          <w:szCs w:val="32"/>
          <w:shd w:val="clear" w:color="auto" w:fill="FFFFFF"/>
        </w:rPr>
        <w:t>总体规划（2021</w:t>
      </w:r>
      <w:r>
        <w:rPr>
          <w:rFonts w:hint="eastAsia" w:ascii="Times New Roman" w:hAnsi="Times New Roman" w:eastAsia="仿宋_GB2312"/>
          <w:sz w:val="32"/>
          <w:szCs w:val="32"/>
          <w:shd w:val="clear" w:color="auto" w:fill="FFFFFF"/>
        </w:rPr>
        <w:t>—</w:t>
      </w:r>
      <w:r>
        <w:rPr>
          <w:rFonts w:ascii="Times New Roman" w:hAnsi="Times New Roman" w:eastAsia="仿宋_GB2312"/>
          <w:sz w:val="32"/>
          <w:szCs w:val="32"/>
          <w:shd w:val="clear" w:color="auto" w:fill="FFFFFF"/>
        </w:rPr>
        <w:t>2035年）》（以下简称《规划》）。</w:t>
      </w:r>
      <w:r>
        <w:rPr>
          <w:rFonts w:ascii="Times New Roman" w:hAnsi="Times New Roman" w:eastAsia="仿宋_GB2312"/>
          <w:spacing w:val="-6"/>
          <w:sz w:val="32"/>
          <w:szCs w:val="32"/>
          <w:shd w:val="clear" w:color="auto" w:fill="FFFFFF"/>
        </w:rPr>
        <w:t>《规划》是巴彦淖尔市空间发展的指南、可持续发展的空间蓝图，是各类开发保护建设活动的基本依据，</w:t>
      </w:r>
      <w:r>
        <w:rPr>
          <w:rFonts w:hint="eastAsia" w:ascii="Times New Roman" w:hAnsi="Times New Roman" w:eastAsia="仿宋_GB2312"/>
          <w:spacing w:val="-6"/>
          <w:sz w:val="32"/>
          <w:szCs w:val="32"/>
          <w:shd w:val="clear" w:color="auto" w:fill="FFFFFF"/>
          <w:lang w:eastAsia="zh-CN"/>
        </w:rPr>
        <w:t>要</w:t>
      </w:r>
      <w:r>
        <w:rPr>
          <w:rFonts w:ascii="Times New Roman" w:hAnsi="Times New Roman" w:eastAsia="仿宋_GB2312"/>
          <w:spacing w:val="-6"/>
          <w:sz w:val="32"/>
          <w:szCs w:val="32"/>
          <w:shd w:val="clear" w:color="auto" w:fill="FFFFFF"/>
        </w:rPr>
        <w:t>认真组织实施。《规划》</w:t>
      </w:r>
      <w:r>
        <w:rPr>
          <w:rFonts w:ascii="Times New Roman" w:hAnsi="Times New Roman" w:eastAsia="仿宋_GB2312"/>
          <w:color w:val="000000"/>
          <w:spacing w:val="-6"/>
          <w:sz w:val="32"/>
          <w:szCs w:val="32"/>
          <w:shd w:val="clear" w:color="auto" w:fill="FFFFFF"/>
        </w:rPr>
        <w:t>实</w:t>
      </w:r>
      <w:r>
        <w:rPr>
          <w:rFonts w:ascii="Times New Roman" w:hAnsi="Times New Roman" w:eastAsia="仿宋_GB2312"/>
          <w:color w:val="000000"/>
          <w:sz w:val="32"/>
          <w:szCs w:val="32"/>
          <w:shd w:val="clear" w:color="auto" w:fill="FFFFFF"/>
        </w:rPr>
        <w:t>施要坚持以习近平新时代中国特色社会主义思想为指导，全面贯彻落实党的二十大精神，</w:t>
      </w:r>
      <w:r>
        <w:rPr>
          <w:rFonts w:ascii="Times New Roman" w:hAnsi="Times New Roman" w:eastAsia="仿宋_GB2312"/>
          <w:color w:val="000000"/>
          <w:spacing w:val="-11"/>
          <w:sz w:val="32"/>
          <w:szCs w:val="32"/>
          <w:shd w:val="clear" w:color="auto" w:fill="FFFFFF"/>
        </w:rPr>
        <w:t>深入贯彻习近平总书记对内蒙古的重要指示精神，认真落实自治区党委</w:t>
      </w:r>
      <w:r>
        <w:rPr>
          <w:rFonts w:hint="eastAsia" w:ascii="Times New Roman" w:hAnsi="Times New Roman" w:eastAsia="仿宋_GB2312"/>
          <w:color w:val="000000"/>
          <w:spacing w:val="-11"/>
          <w:sz w:val="32"/>
          <w:szCs w:val="32"/>
          <w:shd w:val="clear" w:color="auto" w:fill="FFFFFF"/>
          <w:lang w:eastAsia="zh-CN"/>
        </w:rPr>
        <w:t>和</w:t>
      </w:r>
      <w:r>
        <w:rPr>
          <w:rFonts w:ascii="Times New Roman" w:hAnsi="Times New Roman" w:eastAsia="仿宋_GB2312"/>
          <w:color w:val="000000"/>
          <w:spacing w:val="-11"/>
          <w:sz w:val="32"/>
          <w:szCs w:val="32"/>
          <w:shd w:val="clear" w:color="auto" w:fill="FFFFFF"/>
        </w:rPr>
        <w:t>政府各项决策部署，完整、准确、全面贯彻新发展理念，坚持以人民为中心，统筹发展和安全，促进人与自然和谐共生，</w:t>
      </w:r>
      <w:r>
        <w:rPr>
          <w:rFonts w:hint="eastAsia" w:ascii="Times New Roman" w:hAnsi="Times New Roman" w:eastAsia="仿宋_GB2312" w:cs="Times New Roman"/>
          <w:color w:val="000000"/>
          <w:spacing w:val="-11"/>
          <w:sz w:val="32"/>
          <w:szCs w:val="32"/>
          <w:shd w:val="clear" w:color="auto" w:fill="FFFFFF"/>
          <w:lang w:eastAsia="zh-CN"/>
        </w:rPr>
        <w:t>牢牢把握</w:t>
      </w:r>
      <w:r>
        <w:rPr>
          <w:rFonts w:hint="eastAsia" w:ascii="Times New Roman" w:hAnsi="Times New Roman" w:eastAsia="仿宋_GB2312" w:cs="Times New Roman"/>
          <w:color w:val="000000"/>
          <w:spacing w:val="-11"/>
          <w:sz w:val="32"/>
          <w:szCs w:val="32"/>
          <w:shd w:val="clear" w:color="auto" w:fill="FFFFFF"/>
        </w:rPr>
        <w:t>铸牢中华民族共同体意识</w:t>
      </w:r>
      <w:r>
        <w:rPr>
          <w:rFonts w:hint="eastAsia" w:ascii="Times New Roman" w:hAnsi="Times New Roman" w:eastAsia="仿宋_GB2312" w:cs="Times New Roman"/>
          <w:color w:val="000000"/>
          <w:spacing w:val="-11"/>
          <w:sz w:val="32"/>
          <w:szCs w:val="32"/>
          <w:shd w:val="clear" w:color="auto" w:fill="FFFFFF"/>
          <w:lang w:eastAsia="zh-CN"/>
        </w:rPr>
        <w:t>工作主线</w:t>
      </w:r>
      <w:r>
        <w:rPr>
          <w:rFonts w:ascii="Times New Roman" w:hAnsi="Times New Roman" w:eastAsia="仿宋_GB2312"/>
          <w:color w:val="000000"/>
          <w:spacing w:val="-11"/>
          <w:sz w:val="32"/>
          <w:szCs w:val="32"/>
          <w:shd w:val="clear" w:color="auto" w:fill="FFFFFF"/>
        </w:rPr>
        <w:t>，</w:t>
      </w:r>
      <w:r>
        <w:rPr>
          <w:rFonts w:hint="eastAsia" w:ascii="Times New Roman" w:hAnsi="Times New Roman" w:eastAsia="仿宋_GB2312"/>
          <w:color w:val="000000"/>
          <w:spacing w:val="-11"/>
          <w:sz w:val="32"/>
          <w:szCs w:val="32"/>
          <w:shd w:val="clear" w:color="auto" w:fill="FFFFFF"/>
        </w:rPr>
        <w:t>着力建设农牧业高质量发展集聚区，谱写中国式现代化建设巴彦淖尔新篇章。</w:t>
      </w:r>
    </w:p>
    <w:p>
      <w:pPr>
        <w:keepNext w:val="0"/>
        <w:keepLines w:val="0"/>
        <w:pageBreakBefore w:val="0"/>
        <w:widowControl w:val="0"/>
        <w:kinsoku/>
        <w:wordWrap/>
        <w:overflowPunct/>
        <w:topLinePunct/>
        <w:autoSpaceDE/>
        <w:autoSpaceDN/>
        <w:bidi w:val="0"/>
        <w:adjustRightInd/>
        <w:snapToGrid/>
        <w:spacing w:beforeAutospacing="0" w:afterAutospacing="0" w:line="580" w:lineRule="exact"/>
        <w:ind w:firstLine="640" w:firstLineChars="200"/>
        <w:textAlignment w:val="auto"/>
        <w:rPr>
          <w:rFonts w:eastAsia="仿宋_GB2312"/>
          <w:sz w:val="32"/>
          <w:szCs w:val="32"/>
          <w:shd w:val="clear" w:color="auto" w:fill="FFFFFF"/>
        </w:rPr>
      </w:pPr>
      <w:r>
        <w:rPr>
          <w:rFonts w:eastAsia="仿宋_GB2312"/>
          <w:sz w:val="32"/>
          <w:szCs w:val="32"/>
          <w:shd w:val="clear" w:color="auto" w:fill="FFFFFF"/>
        </w:rPr>
        <w:t>二、筑牢安全发展的空间基础</w:t>
      </w:r>
      <w:r>
        <w:rPr>
          <w:rFonts w:ascii="Times New Roman" w:hAnsi="Times New Roman" w:eastAsia="仿宋_GB2312" w:cs="Times New Roman"/>
          <w:color w:val="auto"/>
          <w:sz w:val="32"/>
          <w:szCs w:val="32"/>
          <w:shd w:val="clear" w:color="auto" w:fill="FFFFFF"/>
        </w:rPr>
        <w:t>。到2035年，巴彦淖尔市耕地保有量不低于1343.6</w:t>
      </w:r>
      <w:r>
        <w:rPr>
          <w:rFonts w:hint="eastAsia" w:ascii="Times New Roman" w:hAnsi="Times New Roman" w:eastAsia="仿宋_GB2312" w:cs="Times New Roman"/>
          <w:color w:val="auto"/>
          <w:sz w:val="32"/>
          <w:szCs w:val="32"/>
          <w:shd w:val="clear" w:color="auto" w:fill="FFFFFF"/>
          <w:lang w:val="en-US" w:eastAsia="zh-CN"/>
        </w:rPr>
        <w:t>276</w:t>
      </w:r>
      <w:r>
        <w:rPr>
          <w:rFonts w:ascii="Times New Roman" w:hAnsi="Times New Roman" w:eastAsia="仿宋_GB2312" w:cs="Times New Roman"/>
          <w:color w:val="auto"/>
          <w:sz w:val="32"/>
          <w:szCs w:val="32"/>
          <w:shd w:val="clear" w:color="auto" w:fill="FFFFFF"/>
        </w:rPr>
        <w:t>万亩，其中</w:t>
      </w:r>
      <w:r>
        <w:rPr>
          <w:rFonts w:hint="eastAsia" w:ascii="Times New Roman" w:hAnsi="Times New Roman" w:eastAsia="仿宋_GB2312" w:cs="Times New Roman"/>
          <w:color w:val="auto"/>
          <w:sz w:val="32"/>
          <w:szCs w:val="32"/>
          <w:shd w:val="clear" w:color="auto" w:fill="FFFFFF"/>
          <w:lang w:eastAsia="zh-CN"/>
        </w:rPr>
        <w:t>，</w:t>
      </w:r>
      <w:r>
        <w:rPr>
          <w:rFonts w:ascii="Times New Roman" w:hAnsi="Times New Roman" w:eastAsia="仿宋_GB2312" w:cs="Times New Roman"/>
          <w:color w:val="auto"/>
          <w:sz w:val="32"/>
          <w:szCs w:val="32"/>
          <w:shd w:val="clear" w:color="auto" w:fill="FFFFFF"/>
        </w:rPr>
        <w:t>永久基本农田保护面积不低于1089.53</w:t>
      </w:r>
      <w:r>
        <w:rPr>
          <w:rFonts w:hint="eastAsia" w:ascii="Times New Roman" w:hAnsi="Times New Roman" w:eastAsia="仿宋_GB2312" w:cs="Times New Roman"/>
          <w:color w:val="auto"/>
          <w:sz w:val="32"/>
          <w:szCs w:val="32"/>
          <w:shd w:val="clear" w:color="auto" w:fill="FFFFFF"/>
          <w:lang w:val="en-US" w:eastAsia="zh-CN"/>
        </w:rPr>
        <w:t>20</w:t>
      </w:r>
      <w:r>
        <w:rPr>
          <w:rFonts w:ascii="Times New Roman" w:hAnsi="Times New Roman" w:eastAsia="仿宋_GB2312" w:cs="Times New Roman"/>
          <w:color w:val="auto"/>
          <w:sz w:val="32"/>
          <w:szCs w:val="32"/>
          <w:shd w:val="clear" w:color="auto" w:fill="FFFFFF"/>
        </w:rPr>
        <w:t>万亩；生态保护红线面积不低于3.</w:t>
      </w:r>
      <w:r>
        <w:rPr>
          <w:rFonts w:hint="eastAsia" w:ascii="Times New Roman" w:hAnsi="Times New Roman" w:eastAsia="仿宋_GB2312" w:cs="Times New Roman"/>
          <w:color w:val="auto"/>
          <w:sz w:val="32"/>
          <w:szCs w:val="32"/>
          <w:shd w:val="clear" w:color="auto" w:fill="FFFFFF"/>
          <w:lang w:val="en-US" w:eastAsia="zh-CN"/>
        </w:rPr>
        <w:t>1981</w:t>
      </w:r>
      <w:r>
        <w:rPr>
          <w:rFonts w:ascii="Times New Roman" w:hAnsi="Times New Roman" w:eastAsia="仿宋_GB2312" w:cs="Times New Roman"/>
          <w:color w:val="auto"/>
          <w:sz w:val="32"/>
          <w:szCs w:val="32"/>
          <w:shd w:val="clear" w:color="auto" w:fill="FFFFFF"/>
        </w:rPr>
        <w:t>万平方千米；城镇开发边界扩展倍数控制在基于2020年城镇建设用地规模的1.2868倍以内；用水总量不超过自治区下达指标；基本草原面积不低于5200.00万</w:t>
      </w:r>
      <w:r>
        <w:rPr>
          <w:rFonts w:eastAsia="仿宋_GB2312"/>
          <w:sz w:val="32"/>
          <w:szCs w:val="32"/>
          <w:shd w:val="clear" w:color="auto" w:fill="FFFFFF"/>
        </w:rPr>
        <w:t>亩。明确自然灾害风险重点防控区域，划定洪涝等风险控制线，落实战略性矿产资源、历史文化保护等安全保障空间，全面锚固高质量发展的空间底线。</w:t>
      </w:r>
    </w:p>
    <w:p>
      <w:pPr>
        <w:pStyle w:val="17"/>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580" w:lineRule="exact"/>
        <w:ind w:firstLine="640"/>
        <w:textAlignment w:val="auto"/>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三、构建支撑新发展格局的国土空间体系。深入实施区域协调发展战略、区域重大战略、主体功能区战略、新型城镇化战略、乡村振兴战略，促进形成主体功能明显、优势互补、高质量发展的国土空间开发保护新格局。深度融入呼包鄂榆城市群，协同推进黄河流域生态保护和高质量发展，坚持以生态优先、绿色发展为导向，服务构建新发展格局。锚定</w:t>
      </w:r>
      <w:r>
        <w:rPr>
          <w:rFonts w:hint="eastAsia" w:ascii="Times New Roman" w:hAnsi="Times New Roman" w:eastAsia="仿宋_GB2312"/>
          <w:sz w:val="32"/>
          <w:szCs w:val="32"/>
          <w:shd w:val="clear" w:color="auto" w:fill="FFFFFF"/>
        </w:rPr>
        <w:t>“</w:t>
      </w:r>
      <w:r>
        <w:rPr>
          <w:rFonts w:ascii="Times New Roman" w:hAnsi="Times New Roman" w:eastAsia="仿宋_GB2312"/>
          <w:sz w:val="32"/>
          <w:szCs w:val="32"/>
          <w:shd w:val="clear" w:color="auto" w:fill="FFFFFF"/>
        </w:rPr>
        <w:t>闯新路、进中游</w:t>
      </w:r>
      <w:r>
        <w:rPr>
          <w:rFonts w:hint="eastAsia" w:ascii="Times New Roman" w:hAnsi="Times New Roman" w:eastAsia="仿宋_GB2312"/>
          <w:sz w:val="32"/>
          <w:szCs w:val="32"/>
          <w:shd w:val="clear" w:color="auto" w:fill="FFFFFF"/>
        </w:rPr>
        <w:t>”</w:t>
      </w:r>
      <w:r>
        <w:rPr>
          <w:rFonts w:ascii="Times New Roman" w:hAnsi="Times New Roman" w:eastAsia="仿宋_GB2312"/>
          <w:sz w:val="32"/>
          <w:szCs w:val="32"/>
          <w:shd w:val="clear" w:color="auto" w:fill="FFFFFF"/>
        </w:rPr>
        <w:t>目标，对照</w:t>
      </w:r>
      <w:r>
        <w:rPr>
          <w:rFonts w:hint="eastAsia" w:ascii="Times New Roman" w:hAnsi="Times New Roman" w:eastAsia="仿宋_GB2312"/>
          <w:sz w:val="32"/>
          <w:szCs w:val="32"/>
          <w:shd w:val="clear" w:color="auto" w:fill="FFFFFF"/>
        </w:rPr>
        <w:t>“</w:t>
      </w:r>
      <w:r>
        <w:rPr>
          <w:rFonts w:ascii="Times New Roman" w:hAnsi="Times New Roman" w:eastAsia="仿宋_GB2312"/>
          <w:sz w:val="32"/>
          <w:szCs w:val="32"/>
          <w:shd w:val="clear" w:color="auto" w:fill="FFFFFF"/>
        </w:rPr>
        <w:t>七个作模范</w:t>
      </w:r>
      <w:r>
        <w:rPr>
          <w:rFonts w:hint="eastAsia" w:ascii="Times New Roman" w:hAnsi="Times New Roman" w:eastAsia="仿宋_GB2312"/>
          <w:sz w:val="32"/>
          <w:szCs w:val="32"/>
          <w:shd w:val="clear" w:color="auto" w:fill="FFFFFF"/>
        </w:rPr>
        <w:t>”</w:t>
      </w:r>
      <w:r>
        <w:rPr>
          <w:rFonts w:ascii="Times New Roman" w:hAnsi="Times New Roman" w:eastAsia="仿宋_GB2312"/>
          <w:sz w:val="32"/>
          <w:szCs w:val="32"/>
          <w:shd w:val="clear" w:color="auto" w:fill="FFFFFF"/>
        </w:rPr>
        <w:t>要求，为完成好习近平总书记交给内蒙古的</w:t>
      </w:r>
      <w:r>
        <w:rPr>
          <w:rFonts w:ascii="Times New Roman" w:hAnsi="Times New Roman" w:eastAsia="仿宋_GB2312"/>
          <w:spacing w:val="-6"/>
          <w:sz w:val="32"/>
          <w:szCs w:val="32"/>
          <w:shd w:val="clear" w:color="auto" w:fill="FFFFFF"/>
        </w:rPr>
        <w:t>五大任务和全方位建设</w:t>
      </w:r>
      <w:r>
        <w:rPr>
          <w:rFonts w:hint="eastAsia" w:ascii="Times New Roman" w:hAnsi="Times New Roman" w:eastAsia="仿宋_GB2312"/>
          <w:spacing w:val="-6"/>
          <w:sz w:val="32"/>
          <w:szCs w:val="32"/>
          <w:shd w:val="clear" w:color="auto" w:fill="FFFFFF"/>
        </w:rPr>
        <w:t>“</w:t>
      </w:r>
      <w:r>
        <w:rPr>
          <w:rFonts w:ascii="Times New Roman" w:hAnsi="Times New Roman" w:eastAsia="仿宋_GB2312"/>
          <w:spacing w:val="-6"/>
          <w:sz w:val="32"/>
          <w:szCs w:val="32"/>
          <w:shd w:val="clear" w:color="auto" w:fill="FFFFFF"/>
        </w:rPr>
        <w:t>模范自治区</w:t>
      </w:r>
      <w:r>
        <w:rPr>
          <w:rFonts w:hint="eastAsia" w:ascii="Times New Roman" w:hAnsi="Times New Roman" w:eastAsia="仿宋_GB2312"/>
          <w:spacing w:val="-6"/>
          <w:sz w:val="32"/>
          <w:szCs w:val="32"/>
          <w:shd w:val="clear" w:color="auto" w:fill="FFFFFF"/>
        </w:rPr>
        <w:t>”</w:t>
      </w:r>
      <w:r>
        <w:rPr>
          <w:rFonts w:ascii="Times New Roman" w:hAnsi="Times New Roman" w:eastAsia="仿宋_GB2312"/>
          <w:spacing w:val="-6"/>
          <w:sz w:val="32"/>
          <w:szCs w:val="32"/>
          <w:shd w:val="clear" w:color="auto" w:fill="FFFFFF"/>
        </w:rPr>
        <w:t>两件大事做出巴彦淖尔贡献。</w:t>
      </w:r>
    </w:p>
    <w:p>
      <w:pPr>
        <w:pStyle w:val="17"/>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580" w:lineRule="exact"/>
        <w:ind w:firstLine="640"/>
        <w:textAlignment w:val="auto"/>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四、系统优化国土空间开发保护格局。发挥区域比较优势，优化主体功能定位，细化主体功能区划分，完善差别化支持政策。发挥农牧资源优势，优化沿黄干流平原农牧区空间布局，实施盐碱地综合利用，高质量</w:t>
      </w:r>
      <w:r>
        <w:rPr>
          <w:rFonts w:ascii="Times New Roman" w:hAnsi="Times New Roman" w:eastAsia="仿宋_GB2312"/>
          <w:kern w:val="0"/>
          <w:sz w:val="32"/>
          <w:szCs w:val="32"/>
          <w:shd w:val="clear" w:color="auto" w:fill="FFFFFF"/>
        </w:rPr>
        <w:t>建设以</w:t>
      </w:r>
      <w:r>
        <w:rPr>
          <w:rFonts w:hint="eastAsia" w:ascii="Times New Roman" w:hAnsi="Times New Roman" w:eastAsia="仿宋_GB2312"/>
          <w:kern w:val="0"/>
          <w:sz w:val="32"/>
          <w:szCs w:val="32"/>
          <w:shd w:val="clear" w:color="auto" w:fill="FFFFFF"/>
        </w:rPr>
        <w:t>“</w:t>
      </w:r>
      <w:r>
        <w:rPr>
          <w:rFonts w:ascii="Times New Roman" w:hAnsi="Times New Roman" w:eastAsia="仿宋_GB2312"/>
          <w:kern w:val="0"/>
          <w:sz w:val="32"/>
          <w:szCs w:val="32"/>
          <w:shd w:val="clear" w:color="auto" w:fill="FFFFFF"/>
        </w:rPr>
        <w:t>天赋河套</w:t>
      </w:r>
      <w:r>
        <w:rPr>
          <w:rFonts w:hint="eastAsia" w:ascii="Times New Roman" w:hAnsi="Times New Roman" w:eastAsia="仿宋_GB2312"/>
          <w:kern w:val="0"/>
          <w:sz w:val="32"/>
          <w:szCs w:val="32"/>
          <w:shd w:val="clear" w:color="auto" w:fill="FFFFFF"/>
        </w:rPr>
        <w:t>”</w:t>
      </w:r>
      <w:r>
        <w:rPr>
          <w:rFonts w:ascii="Times New Roman" w:hAnsi="Times New Roman" w:eastAsia="仿宋_GB2312"/>
          <w:kern w:val="0"/>
          <w:sz w:val="32"/>
          <w:szCs w:val="32"/>
          <w:shd w:val="clear" w:color="auto" w:fill="FFFFFF"/>
        </w:rPr>
        <w:t>区域公用品牌为统领的绿色农畜产品精深加工基地和国家农业高新技术产业示范区，</w:t>
      </w:r>
      <w:r>
        <w:rPr>
          <w:rFonts w:ascii="Times New Roman" w:hAnsi="Times New Roman" w:eastAsia="仿宋_GB2312"/>
          <w:sz w:val="32"/>
          <w:szCs w:val="32"/>
          <w:shd w:val="clear" w:color="auto" w:fill="FFFFFF"/>
        </w:rPr>
        <w:t>严格保护耕地和永久基本农田，</w:t>
      </w:r>
      <w:r>
        <w:rPr>
          <w:rFonts w:ascii="Times New Roman" w:hAnsi="Times New Roman" w:eastAsia="仿宋_GB2312"/>
          <w:color w:val="000000"/>
          <w:kern w:val="0"/>
          <w:sz w:val="32"/>
          <w:szCs w:val="32"/>
          <w:shd w:val="clear" w:color="auto" w:fill="FFFFFF"/>
        </w:rPr>
        <w:t>保障粮食和重要农畜产品安全供给</w:t>
      </w:r>
      <w:r>
        <w:rPr>
          <w:rFonts w:ascii="Times New Roman" w:hAnsi="Times New Roman" w:eastAsia="仿宋_GB2312"/>
          <w:sz w:val="32"/>
          <w:szCs w:val="32"/>
          <w:shd w:val="clear" w:color="auto" w:fill="FFFFFF"/>
        </w:rPr>
        <w:t>。筑牢阴山山脉生态安全屏障，强化</w:t>
      </w:r>
      <w:r>
        <w:rPr>
          <w:rFonts w:ascii="Times New Roman" w:hAnsi="Times New Roman" w:eastAsia="仿宋_GB2312"/>
          <w:kern w:val="0"/>
          <w:sz w:val="32"/>
          <w:szCs w:val="32"/>
          <w:shd w:val="clear" w:color="auto" w:fill="FFFFFF"/>
        </w:rPr>
        <w:t>基本草原保护，深入推进乌梁素海流域综合治理，协同推进</w:t>
      </w:r>
      <w:r>
        <w:rPr>
          <w:rFonts w:hint="eastAsia" w:ascii="Times New Roman" w:hAnsi="Times New Roman" w:eastAsia="仿宋_GB2312"/>
          <w:kern w:val="0"/>
          <w:sz w:val="32"/>
          <w:szCs w:val="32"/>
          <w:shd w:val="clear" w:color="auto" w:fill="FFFFFF"/>
        </w:rPr>
        <w:t>“</w:t>
      </w:r>
      <w:r>
        <w:rPr>
          <w:rFonts w:ascii="Times New Roman" w:hAnsi="Times New Roman" w:eastAsia="仿宋_GB2312"/>
          <w:kern w:val="0"/>
          <w:sz w:val="32"/>
          <w:szCs w:val="32"/>
          <w:shd w:val="clear" w:color="auto" w:fill="FFFFFF"/>
        </w:rPr>
        <w:t>三北</w:t>
      </w:r>
      <w:r>
        <w:rPr>
          <w:rFonts w:hint="eastAsia" w:ascii="Times New Roman" w:hAnsi="Times New Roman" w:eastAsia="仿宋_GB2312"/>
          <w:kern w:val="0"/>
          <w:sz w:val="32"/>
          <w:szCs w:val="32"/>
          <w:shd w:val="clear" w:color="auto" w:fill="FFFFFF"/>
        </w:rPr>
        <w:t>”</w:t>
      </w:r>
      <w:r>
        <w:rPr>
          <w:rFonts w:ascii="Times New Roman" w:hAnsi="Times New Roman" w:eastAsia="仿宋_GB2312"/>
          <w:kern w:val="0"/>
          <w:sz w:val="32"/>
          <w:szCs w:val="32"/>
          <w:shd w:val="clear" w:color="auto" w:fill="FFFFFF"/>
        </w:rPr>
        <w:t>防护林体系建设，实施生态保护修复重大工程，全面提升黄河流域生</w:t>
      </w:r>
      <w:r>
        <w:rPr>
          <w:rFonts w:ascii="Times New Roman" w:hAnsi="Times New Roman" w:eastAsia="仿宋_GB2312"/>
          <w:sz w:val="32"/>
          <w:szCs w:val="32"/>
        </w:rPr>
        <w:t>态系统质量</w:t>
      </w:r>
      <w:r>
        <w:rPr>
          <w:rFonts w:hint="eastAsia" w:ascii="Times New Roman" w:hAnsi="Times New Roman" w:eastAsia="仿宋_GB2312"/>
          <w:sz w:val="32"/>
          <w:szCs w:val="32"/>
          <w:lang w:eastAsia="zh-CN"/>
        </w:rPr>
        <w:t>，增强</w:t>
      </w:r>
      <w:r>
        <w:rPr>
          <w:rFonts w:ascii="Times New Roman" w:hAnsi="Times New Roman" w:eastAsia="仿宋_GB2312"/>
          <w:sz w:val="32"/>
          <w:szCs w:val="32"/>
        </w:rPr>
        <w:t>生态服务功能</w:t>
      </w:r>
      <w:r>
        <w:rPr>
          <w:rFonts w:ascii="Times New Roman" w:hAnsi="Times New Roman" w:eastAsia="仿宋_GB2312"/>
          <w:sz w:val="32"/>
          <w:szCs w:val="32"/>
          <w:shd w:val="clear" w:color="auto" w:fill="FFFFFF"/>
        </w:rPr>
        <w:t>。发挥黄河</w:t>
      </w:r>
      <w:r>
        <w:rPr>
          <w:rFonts w:hint="eastAsia" w:ascii="Times New Roman" w:hAnsi="Times New Roman" w:eastAsia="仿宋_GB2312"/>
          <w:sz w:val="32"/>
          <w:szCs w:val="32"/>
          <w:shd w:val="clear" w:color="auto" w:fill="FFFFFF"/>
        </w:rPr>
        <w:t>“</w:t>
      </w:r>
      <w:r>
        <w:rPr>
          <w:rFonts w:ascii="Times New Roman" w:hAnsi="Times New Roman" w:eastAsia="仿宋_GB2312"/>
          <w:sz w:val="32"/>
          <w:szCs w:val="32"/>
          <w:shd w:val="clear" w:color="auto" w:fill="FFFFFF"/>
        </w:rPr>
        <w:t>几字弯</w:t>
      </w:r>
      <w:r>
        <w:rPr>
          <w:rFonts w:hint="eastAsia" w:ascii="Times New Roman" w:hAnsi="Times New Roman" w:eastAsia="仿宋_GB2312"/>
          <w:sz w:val="32"/>
          <w:szCs w:val="32"/>
          <w:shd w:val="clear" w:color="auto" w:fill="FFFFFF"/>
          <w:lang w:eastAsia="zh-CN"/>
        </w:rPr>
        <w:t>”</w:t>
      </w:r>
      <w:r>
        <w:rPr>
          <w:rFonts w:ascii="Times New Roman" w:hAnsi="Times New Roman" w:eastAsia="仿宋_GB2312"/>
          <w:sz w:val="32"/>
          <w:szCs w:val="32"/>
          <w:shd w:val="clear" w:color="auto" w:fill="FFFFFF"/>
        </w:rPr>
        <w:t>节点城市作用，引导各类开发区功能复合和节约集约用地，</w:t>
      </w:r>
      <w:r>
        <w:rPr>
          <w:rFonts w:ascii="Times New Roman" w:hAnsi="Times New Roman" w:eastAsia="仿宋_GB2312"/>
          <w:kern w:val="0"/>
          <w:sz w:val="32"/>
          <w:szCs w:val="32"/>
          <w:shd w:val="clear" w:color="auto" w:fill="FFFFFF"/>
        </w:rPr>
        <w:t>完善城市基础设施和公共服务设施，</w:t>
      </w:r>
      <w:r>
        <w:rPr>
          <w:rFonts w:ascii="Times New Roman" w:hAnsi="Times New Roman" w:eastAsia="仿宋_GB2312"/>
          <w:sz w:val="32"/>
          <w:szCs w:val="32"/>
          <w:shd w:val="clear" w:color="auto" w:fill="FFFFFF"/>
        </w:rPr>
        <w:t>促进城镇空间高质量发展。</w:t>
      </w:r>
      <w:r>
        <w:rPr>
          <w:rFonts w:ascii="Times New Roman" w:hAnsi="Times New Roman" w:eastAsia="仿宋_GB2312"/>
          <w:kern w:val="0"/>
          <w:sz w:val="32"/>
          <w:szCs w:val="32"/>
          <w:shd w:val="clear" w:color="auto" w:fill="FFFFFF"/>
        </w:rPr>
        <w:t>优化产业空间布局</w:t>
      </w:r>
      <w:r>
        <w:rPr>
          <w:rFonts w:ascii="Times New Roman" w:hAnsi="Times New Roman" w:eastAsia="仿宋_GB2312"/>
          <w:sz w:val="32"/>
          <w:szCs w:val="32"/>
          <w:shd w:val="clear" w:color="auto" w:fill="FFFFFF"/>
        </w:rPr>
        <w:t>，强化清洁能源和战略资源综合开发利用，为</w:t>
      </w:r>
      <w:r>
        <w:rPr>
          <w:rFonts w:ascii="Times New Roman" w:hAnsi="Times New Roman" w:eastAsia="仿宋_GB2312"/>
          <w:kern w:val="0"/>
          <w:sz w:val="32"/>
          <w:szCs w:val="32"/>
          <w:shd w:val="clear" w:color="auto" w:fill="FFFFFF"/>
        </w:rPr>
        <w:t>培育发展装备制造、新型化工冶金等产业集群提供空间保障。</w:t>
      </w:r>
      <w:r>
        <w:rPr>
          <w:rFonts w:ascii="Times New Roman" w:hAnsi="Times New Roman" w:eastAsia="仿宋_GB2312"/>
          <w:sz w:val="32"/>
          <w:szCs w:val="32"/>
          <w:shd w:val="clear" w:color="auto" w:fill="FFFFFF"/>
        </w:rPr>
        <w:t>推动甘其毛都边境口岸高质量发展，提升边境地区经济社会发展水平和守边固边能力。优化农</w:t>
      </w:r>
      <w:r>
        <w:rPr>
          <w:rFonts w:hint="eastAsia" w:ascii="Times New Roman" w:hAnsi="Times New Roman" w:eastAsia="仿宋_GB2312"/>
          <w:sz w:val="32"/>
          <w:szCs w:val="32"/>
          <w:shd w:val="clear" w:color="auto" w:fill="FFFFFF"/>
          <w:lang w:eastAsia="zh-CN"/>
        </w:rPr>
        <w:t>村</w:t>
      </w:r>
      <w:r>
        <w:rPr>
          <w:rFonts w:ascii="Times New Roman" w:hAnsi="Times New Roman" w:eastAsia="仿宋_GB2312"/>
          <w:sz w:val="32"/>
          <w:szCs w:val="32"/>
          <w:shd w:val="clear" w:color="auto" w:fill="FFFFFF"/>
        </w:rPr>
        <w:t>牧区</w:t>
      </w:r>
      <w:r>
        <w:rPr>
          <w:rFonts w:hint="eastAsia" w:ascii="Times New Roman" w:hAnsi="Times New Roman" w:eastAsia="仿宋_GB2312"/>
          <w:sz w:val="32"/>
          <w:szCs w:val="32"/>
          <w:shd w:val="clear" w:color="auto" w:fill="FFFFFF"/>
          <w:lang w:eastAsia="zh-CN"/>
        </w:rPr>
        <w:t>嘎查村</w:t>
      </w:r>
      <w:r>
        <w:rPr>
          <w:rFonts w:ascii="Times New Roman" w:hAnsi="Times New Roman" w:eastAsia="仿宋_GB2312"/>
          <w:sz w:val="32"/>
          <w:szCs w:val="32"/>
          <w:shd w:val="clear" w:color="auto" w:fill="FFFFFF"/>
        </w:rPr>
        <w:t>布局，完善城乡生活圈，提升城乡人居环境品质。强化文化遗产与自然遗产整体保护和系统活化利用，健全文化遗产与自然遗产空间保护机制，构建文化资源、自然资源、景观资源整体保护的空间体系，把生态效益更好转化为社会效益、经济效益，建设黄河流域现代化生态宜居城市。</w:t>
      </w:r>
    </w:p>
    <w:p>
      <w:pPr>
        <w:pStyle w:val="17"/>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580" w:lineRule="exact"/>
        <w:ind w:firstLine="640"/>
        <w:textAlignment w:val="auto"/>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五、维护规划严肃性权威性。《规划》是对巴彦淖尔市国土空间作出的全局安排，</w:t>
      </w:r>
      <w:r>
        <w:rPr>
          <w:rFonts w:ascii="Times New Roman" w:hAnsi="Times New Roman" w:eastAsia="仿宋_GB2312"/>
          <w:kern w:val="0"/>
          <w:sz w:val="32"/>
          <w:szCs w:val="32"/>
          <w:shd w:val="clear" w:color="auto" w:fill="FFFFFF"/>
        </w:rPr>
        <w:t>是市域国土空间保护、开发、利用、修复</w:t>
      </w:r>
      <w:r>
        <w:rPr>
          <w:rFonts w:ascii="Times New Roman" w:hAnsi="Times New Roman" w:eastAsia="仿宋_GB2312"/>
          <w:spacing w:val="-6"/>
          <w:kern w:val="0"/>
          <w:sz w:val="32"/>
          <w:szCs w:val="32"/>
          <w:shd w:val="clear" w:color="auto" w:fill="FFFFFF"/>
        </w:rPr>
        <w:t>的政策和总纲，必须严格执行，任何部门和个人不得随意修改、违</w:t>
      </w:r>
      <w:r>
        <w:rPr>
          <w:rFonts w:ascii="Times New Roman" w:hAnsi="Times New Roman" w:eastAsia="仿宋_GB2312"/>
          <w:kern w:val="0"/>
          <w:sz w:val="32"/>
          <w:szCs w:val="32"/>
          <w:shd w:val="clear" w:color="auto" w:fill="FFFFFF"/>
        </w:rPr>
        <w:t>规变更。按照定期体检和五年一评估的要求，健全各级各类国土空间规划实施监测评估预警机制，将规划评估结果作为规划实施</w:t>
      </w:r>
      <w:r>
        <w:rPr>
          <w:rFonts w:ascii="Times New Roman" w:hAnsi="Times New Roman" w:eastAsia="仿宋_GB2312"/>
          <w:spacing w:val="-6"/>
          <w:kern w:val="0"/>
          <w:sz w:val="32"/>
          <w:szCs w:val="32"/>
          <w:shd w:val="clear" w:color="auto" w:fill="FFFFFF"/>
        </w:rPr>
        <w:t>监督考核的重要依据。</w:t>
      </w:r>
      <w:r>
        <w:rPr>
          <w:rFonts w:hint="eastAsia" w:ascii="Times New Roman" w:hAnsi="Times New Roman" w:eastAsia="仿宋_GB2312"/>
          <w:color w:val="000000"/>
          <w:spacing w:val="-6"/>
          <w:sz w:val="32"/>
          <w:szCs w:val="32"/>
          <w:shd w:val="clear" w:color="auto" w:fill="FFFFFF"/>
          <w:lang w:eastAsia="zh-CN"/>
        </w:rPr>
        <w:t>在符合“三区三线”管控要求的前提下，严</w:t>
      </w:r>
      <w:r>
        <w:rPr>
          <w:rFonts w:hint="eastAsia" w:ascii="Times New Roman" w:hAnsi="Times New Roman" w:eastAsia="仿宋_GB2312"/>
          <w:color w:val="000000"/>
          <w:sz w:val="32"/>
          <w:szCs w:val="32"/>
          <w:shd w:val="clear" w:color="auto" w:fill="FFFFFF"/>
          <w:lang w:eastAsia="zh-CN"/>
        </w:rPr>
        <w:t>格管理《规划》重点项目。</w:t>
      </w:r>
      <w:r>
        <w:rPr>
          <w:rFonts w:ascii="Times New Roman" w:hAnsi="Times New Roman" w:eastAsia="仿宋_GB2312"/>
          <w:kern w:val="0"/>
          <w:sz w:val="32"/>
          <w:szCs w:val="32"/>
          <w:shd w:val="clear" w:color="auto" w:fill="FFFFFF"/>
        </w:rPr>
        <w:t>建立健全规划监督、执法、问责联动机制，实施规划全生命周期管理。</w:t>
      </w:r>
    </w:p>
    <w:p>
      <w:pPr>
        <w:pStyle w:val="17"/>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580" w:lineRule="exact"/>
        <w:ind w:firstLine="640"/>
        <w:textAlignment w:val="auto"/>
        <w:rPr>
          <w:rFonts w:hint="eastAsia" w:ascii="Times New Roman" w:hAnsi="Times New Roman" w:eastAsia="仿宋_GB2312"/>
          <w:kern w:val="0"/>
          <w:sz w:val="32"/>
          <w:szCs w:val="32"/>
          <w:shd w:val="clear" w:color="auto" w:fill="FFFFFF"/>
        </w:rPr>
      </w:pPr>
      <w:r>
        <w:rPr>
          <w:rFonts w:ascii="Times New Roman" w:hAnsi="Times New Roman" w:eastAsia="仿宋_GB2312"/>
          <w:kern w:val="0"/>
          <w:sz w:val="32"/>
          <w:szCs w:val="32"/>
          <w:shd w:val="clear" w:color="auto" w:fill="FFFFFF"/>
        </w:rPr>
        <w:t>六、做好规划实施保障。巴彦淖尔市人民政府要加强组织领导，明确责任分工，健全工作机制，完善配套政策措施。做好《规划》印发和公开，强化社会监督。组织完成各级国土空间总体规划、详细规划、相关专项规划编制工作，加快形成统一的国土空间规划体系</w:t>
      </w:r>
      <w:r>
        <w:rPr>
          <w:rFonts w:ascii="Times New Roman" w:hAnsi="Times New Roman" w:eastAsia="仿宋_GB2312"/>
          <w:sz w:val="32"/>
          <w:szCs w:val="32"/>
          <w:shd w:val="clear" w:color="auto" w:fill="FFFFFF"/>
        </w:rPr>
        <w:t>。强化对水利、交通、能源、农业、信息、市政等基础设施以及公共服务设施、军事设施、生态环境保护、文物保护、林业草原等专项规划的指导约束，在国土空间规划</w:t>
      </w:r>
      <w:r>
        <w:rPr>
          <w:rFonts w:hint="eastAsia" w:ascii="Times New Roman" w:hAnsi="Times New Roman" w:eastAsia="仿宋_GB2312"/>
          <w:sz w:val="32"/>
          <w:szCs w:val="32"/>
          <w:shd w:val="clear" w:color="auto" w:fill="FFFFFF"/>
        </w:rPr>
        <w:t>“</w:t>
      </w:r>
      <w:r>
        <w:rPr>
          <w:rFonts w:ascii="Times New Roman" w:hAnsi="Times New Roman" w:eastAsia="仿宋_GB2312"/>
          <w:sz w:val="32"/>
          <w:szCs w:val="32"/>
          <w:shd w:val="clear" w:color="auto" w:fill="FFFFFF"/>
        </w:rPr>
        <w:t>一张图</w:t>
      </w:r>
      <w:r>
        <w:rPr>
          <w:rFonts w:hint="eastAsia" w:ascii="Times New Roman" w:hAnsi="Times New Roman" w:eastAsia="仿宋_GB2312"/>
          <w:sz w:val="32"/>
          <w:szCs w:val="32"/>
          <w:shd w:val="clear" w:color="auto" w:fill="FFFFFF"/>
        </w:rPr>
        <w:t>”</w:t>
      </w:r>
      <w:r>
        <w:rPr>
          <w:rFonts w:ascii="Times New Roman" w:hAnsi="Times New Roman" w:eastAsia="仿宋_GB2312"/>
          <w:sz w:val="32"/>
          <w:szCs w:val="32"/>
          <w:shd w:val="clear" w:color="auto" w:fill="FFFFFF"/>
        </w:rPr>
        <w:t>上协调解决矛盾问题，合理优化空间布局。建立健全市、旗县（区）国土空间规划委员会制度，发挥对国土空间规划编制实施管理的统筹协调作用。按照</w:t>
      </w:r>
      <w:r>
        <w:rPr>
          <w:rFonts w:hint="eastAsia" w:ascii="Times New Roman" w:hAnsi="Times New Roman" w:eastAsia="仿宋_GB2312"/>
          <w:sz w:val="32"/>
          <w:szCs w:val="32"/>
          <w:shd w:val="clear" w:color="auto" w:fill="FFFFFF"/>
        </w:rPr>
        <w:t>“</w:t>
      </w:r>
      <w:r>
        <w:rPr>
          <w:rFonts w:ascii="Times New Roman" w:hAnsi="Times New Roman" w:eastAsia="仿宋_GB2312"/>
          <w:sz w:val="32"/>
          <w:szCs w:val="32"/>
          <w:shd w:val="clear" w:color="auto" w:fill="FFFFFF"/>
        </w:rPr>
        <w:t>统一底图、统一标准、统一规划、统一平台</w:t>
      </w:r>
      <w:r>
        <w:rPr>
          <w:rFonts w:hint="eastAsia" w:ascii="Times New Roman" w:hAnsi="Times New Roman" w:eastAsia="仿宋_GB2312"/>
          <w:sz w:val="32"/>
          <w:szCs w:val="32"/>
          <w:shd w:val="clear" w:color="auto" w:fill="FFFFFF"/>
        </w:rPr>
        <w:t>”</w:t>
      </w:r>
      <w:r>
        <w:rPr>
          <w:rFonts w:ascii="Times New Roman" w:hAnsi="Times New Roman" w:eastAsia="仿宋_GB2312"/>
          <w:sz w:val="32"/>
          <w:szCs w:val="32"/>
          <w:shd w:val="clear" w:color="auto" w:fill="FFFFFF"/>
        </w:rPr>
        <w:t>的要求，完善国土空间规划</w:t>
      </w:r>
      <w:r>
        <w:rPr>
          <w:rFonts w:hint="eastAsia" w:ascii="Times New Roman" w:hAnsi="Times New Roman" w:eastAsia="仿宋_GB2312"/>
          <w:sz w:val="32"/>
          <w:szCs w:val="32"/>
          <w:shd w:val="clear" w:color="auto" w:fill="FFFFFF"/>
        </w:rPr>
        <w:t>“</w:t>
      </w:r>
      <w:r>
        <w:rPr>
          <w:rFonts w:ascii="Times New Roman" w:hAnsi="Times New Roman" w:eastAsia="仿宋_GB2312"/>
          <w:sz w:val="32"/>
          <w:szCs w:val="32"/>
          <w:shd w:val="clear" w:color="auto" w:fill="FFFFFF"/>
        </w:rPr>
        <w:t>一张图</w:t>
      </w:r>
      <w:r>
        <w:rPr>
          <w:rFonts w:hint="eastAsia" w:ascii="Times New Roman" w:hAnsi="Times New Roman" w:eastAsia="仿宋_GB2312"/>
          <w:sz w:val="32"/>
          <w:szCs w:val="32"/>
          <w:shd w:val="clear" w:color="auto" w:fill="FFFFFF"/>
        </w:rPr>
        <w:t>”</w:t>
      </w:r>
      <w:r>
        <w:rPr>
          <w:rFonts w:ascii="Times New Roman" w:hAnsi="Times New Roman" w:eastAsia="仿宋_GB2312"/>
          <w:sz w:val="32"/>
          <w:szCs w:val="32"/>
          <w:shd w:val="clear" w:color="auto" w:fill="FFFFFF"/>
        </w:rPr>
        <w:t>系统和国土空间基础信息平台，建设国土空间规划实施监测网络，提高空间治理数字化水平</w:t>
      </w:r>
      <w:r>
        <w:rPr>
          <w:rFonts w:ascii="Times New Roman" w:hAnsi="Times New Roman" w:eastAsia="仿宋_GB2312"/>
          <w:kern w:val="0"/>
          <w:sz w:val="32"/>
          <w:szCs w:val="32"/>
          <w:shd w:val="clear" w:color="auto" w:fill="FFFFFF"/>
        </w:rPr>
        <w:t>。</w:t>
      </w:r>
      <w:r>
        <w:rPr>
          <w:rFonts w:hint="eastAsia" w:ascii="Times New Roman" w:hAnsi="Times New Roman" w:eastAsia="仿宋_GB2312"/>
          <w:color w:val="000000"/>
          <w:sz w:val="32"/>
          <w:szCs w:val="32"/>
          <w:shd w:val="clear" w:color="auto" w:fill="FFFFFF"/>
          <w:lang w:eastAsia="zh-CN"/>
        </w:rPr>
        <w:t>自治区有关部门要根据职责分工，密切协调配合，共同做好指导、监督和评估工作，</w:t>
      </w:r>
      <w:r>
        <w:rPr>
          <w:rFonts w:ascii="Times New Roman" w:hAnsi="Times New Roman" w:eastAsia="仿宋_GB2312"/>
          <w:kern w:val="0"/>
          <w:sz w:val="32"/>
          <w:szCs w:val="32"/>
          <w:shd w:val="clear" w:color="auto" w:fill="FFFFFF"/>
        </w:rPr>
        <w:t>坚决贯彻党中央、国务院关于</w:t>
      </w:r>
      <w:r>
        <w:rPr>
          <w:rFonts w:hint="eastAsia" w:ascii="Times New Roman" w:hAnsi="Times New Roman" w:eastAsia="仿宋_GB2312"/>
          <w:kern w:val="0"/>
          <w:sz w:val="32"/>
          <w:szCs w:val="32"/>
          <w:shd w:val="clear" w:color="auto" w:fill="FFFFFF"/>
        </w:rPr>
        <w:t>“</w:t>
      </w:r>
      <w:r>
        <w:rPr>
          <w:rFonts w:ascii="Times New Roman" w:hAnsi="Times New Roman" w:eastAsia="仿宋_GB2312"/>
          <w:kern w:val="0"/>
          <w:sz w:val="32"/>
          <w:szCs w:val="32"/>
          <w:shd w:val="clear" w:color="auto" w:fill="FFFFFF"/>
        </w:rPr>
        <w:t>多规合一</w:t>
      </w:r>
      <w:r>
        <w:rPr>
          <w:rFonts w:hint="eastAsia" w:ascii="Times New Roman" w:hAnsi="Times New Roman" w:eastAsia="仿宋_GB2312"/>
          <w:kern w:val="0"/>
          <w:sz w:val="32"/>
          <w:szCs w:val="32"/>
          <w:shd w:val="clear" w:color="auto" w:fill="FFFFFF"/>
        </w:rPr>
        <w:t>”</w:t>
      </w:r>
      <w:r>
        <w:rPr>
          <w:rFonts w:ascii="Times New Roman" w:hAnsi="Times New Roman" w:eastAsia="仿宋_GB2312"/>
          <w:kern w:val="0"/>
          <w:sz w:val="32"/>
          <w:szCs w:val="32"/>
          <w:shd w:val="clear" w:color="auto" w:fill="FFFFFF"/>
        </w:rPr>
        <w:t>改革的决策部署，不在国土空间规划体系之外另设其他空间规划。《规划》实施中的重大事项要及时请示报告。</w:t>
      </w:r>
    </w:p>
    <w:p>
      <w:pPr>
        <w:pStyle w:val="17"/>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580" w:lineRule="exact"/>
        <w:ind w:firstLine="640"/>
        <w:textAlignment w:val="auto"/>
        <w:rPr>
          <w:rFonts w:hint="eastAsia" w:ascii="Times New Roman" w:hAnsi="Times New Roman" w:eastAsia="仿宋_GB2312"/>
          <w:kern w:val="0"/>
          <w:sz w:val="32"/>
          <w:szCs w:val="32"/>
          <w:shd w:val="clear" w:color="auto" w:fill="FFFFFF"/>
        </w:rPr>
      </w:pPr>
    </w:p>
    <w:p>
      <w:pPr>
        <w:pStyle w:val="17"/>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580" w:lineRule="exact"/>
        <w:ind w:firstLine="640"/>
        <w:textAlignment w:val="auto"/>
        <w:rPr>
          <w:rFonts w:hint="eastAsia" w:ascii="Times New Roman" w:hAnsi="Times New Roman" w:eastAsia="仿宋_GB2312"/>
          <w:kern w:val="0"/>
          <w:sz w:val="32"/>
          <w:szCs w:val="32"/>
          <w:shd w:val="clear" w:color="auto" w:fill="FFFFFF"/>
        </w:rPr>
      </w:pPr>
    </w:p>
    <w:p>
      <w:pPr>
        <w:pStyle w:val="17"/>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580" w:lineRule="exact"/>
        <w:ind w:firstLine="640"/>
        <w:textAlignment w:val="auto"/>
        <w:rPr>
          <w:rFonts w:hint="eastAsia" w:ascii="Times New Roman" w:hAnsi="Times New Roman" w:eastAsia="仿宋_GB2312"/>
          <w:color w:val="000000"/>
          <w:sz w:val="32"/>
          <w:szCs w:val="32"/>
          <w:shd w:val="clear" w:color="auto" w:fill="FFFFFF"/>
        </w:rPr>
      </w:pPr>
      <w:r>
        <w:rPr>
          <w:rFonts w:hint="eastAsia" w:ascii="Times New Roman" w:hAnsi="Times New Roman" w:eastAsia="仿宋_GB2312"/>
          <w:color w:val="000000"/>
          <w:sz w:val="32"/>
          <w:szCs w:val="32"/>
          <w:shd w:val="clear" w:color="auto" w:fill="FFFFFF"/>
        </w:rPr>
        <w:t xml:space="preserve">                            </w:t>
      </w:r>
      <w:r>
        <w:rPr>
          <w:rFonts w:ascii="Times New Roman" w:hAnsi="Times New Roman" w:eastAsia="仿宋_GB2312"/>
          <w:color w:val="000000"/>
          <w:sz w:val="32"/>
          <w:szCs w:val="32"/>
          <w:shd w:val="clear" w:color="auto" w:fill="FFFFFF"/>
        </w:rPr>
        <w:t>2024年</w:t>
      </w:r>
      <w:r>
        <w:rPr>
          <w:rFonts w:hint="eastAsia" w:ascii="Times New Roman" w:hAnsi="Times New Roman" w:eastAsia="仿宋_GB2312"/>
          <w:color w:val="000000"/>
          <w:sz w:val="32"/>
          <w:szCs w:val="32"/>
          <w:shd w:val="clear" w:color="auto" w:fill="FFFFFF"/>
          <w:lang w:val="en-US" w:eastAsia="zh-CN"/>
        </w:rPr>
        <w:t>3</w:t>
      </w:r>
      <w:r>
        <w:rPr>
          <w:rFonts w:ascii="Times New Roman" w:hAnsi="Times New Roman" w:eastAsia="仿宋_GB2312"/>
          <w:color w:val="000000"/>
          <w:sz w:val="32"/>
          <w:szCs w:val="32"/>
          <w:shd w:val="clear" w:color="auto" w:fill="FFFFFF"/>
        </w:rPr>
        <w:t>月</w:t>
      </w:r>
      <w:r>
        <w:rPr>
          <w:rFonts w:hint="eastAsia" w:ascii="Times New Roman" w:hAnsi="Times New Roman" w:eastAsia="仿宋_GB2312"/>
          <w:color w:val="000000"/>
          <w:sz w:val="32"/>
          <w:szCs w:val="32"/>
          <w:shd w:val="clear" w:color="auto" w:fill="FFFFFF"/>
          <w:lang w:val="en-US" w:eastAsia="zh-CN"/>
        </w:rPr>
        <w:t>25</w:t>
      </w:r>
      <w:r>
        <w:rPr>
          <w:rFonts w:ascii="Times New Roman" w:hAnsi="Times New Roman" w:eastAsia="仿宋_GB2312"/>
          <w:color w:val="000000"/>
          <w:sz w:val="32"/>
          <w:szCs w:val="32"/>
          <w:shd w:val="clear" w:color="auto" w:fill="FFFFFF"/>
        </w:rPr>
        <w:t>日</w:t>
      </w:r>
    </w:p>
    <w:p>
      <w:pPr>
        <w:pStyle w:val="17"/>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580" w:lineRule="exact"/>
        <w:ind w:firstLine="640"/>
        <w:textAlignment w:val="auto"/>
        <w:rPr>
          <w:rFonts w:ascii="Times New Roman" w:hAnsi="Times New Roman" w:eastAsia="仿宋_GB2312"/>
          <w:color w:val="000000"/>
          <w:sz w:val="32"/>
          <w:szCs w:val="32"/>
          <w:shd w:val="clear" w:color="auto" w:fill="FFFFFF"/>
        </w:rPr>
      </w:pPr>
      <w:r>
        <w:rPr>
          <w:rFonts w:ascii="Times New Roman" w:hAnsi="Times New Roman" w:eastAsia="仿宋_GB2312"/>
          <w:color w:val="000000"/>
          <w:sz w:val="32"/>
          <w:szCs w:val="32"/>
          <w:shd w:val="clear" w:color="auto" w:fill="FFFFFF"/>
        </w:rPr>
        <w:t>（此件公开发布）</w:t>
      </w:r>
    </w:p>
    <w:p>
      <w:pPr>
        <w:pStyle w:val="17"/>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580" w:lineRule="exact"/>
        <w:ind w:firstLine="640"/>
        <w:textAlignment w:val="auto"/>
        <w:rPr>
          <w:rFonts w:ascii="Times New Roman" w:hAnsi="Times New Roman" w:eastAsia="仿宋_GB2312"/>
          <w:color w:val="000000"/>
          <w:sz w:val="32"/>
          <w:szCs w:val="32"/>
          <w:shd w:val="clear" w:color="auto" w:fill="FFFFFF"/>
        </w:rPr>
      </w:pPr>
    </w:p>
    <w:bookmarkEnd w:id="0"/>
    <w:p>
      <w:pPr>
        <w:pStyle w:val="17"/>
        <w:keepNext w:val="0"/>
        <w:keepLines w:val="0"/>
        <w:pageBreakBefore w:val="0"/>
        <w:shd w:val="clear" w:color="auto" w:fill="FFFFFF"/>
        <w:kinsoku/>
        <w:wordWrap/>
        <w:overflowPunct/>
        <w:autoSpaceDE/>
        <w:autoSpaceDN/>
        <w:bidi w:val="0"/>
        <w:adjustRightInd/>
        <w:snapToGrid/>
        <w:spacing w:before="0" w:beforeAutospacing="0" w:after="0" w:afterAutospacing="0" w:line="600" w:lineRule="exact"/>
        <w:ind w:firstLine="0"/>
        <w:textAlignment w:val="auto"/>
        <w:rPr>
          <w:rFonts w:ascii="Times New Roman" w:hAnsi="Times New Roman" w:eastAsia="仿宋_GB2312"/>
          <w:color w:val="000000"/>
          <w:sz w:val="32"/>
          <w:szCs w:val="32"/>
          <w:shd w:val="clear" w:color="auto" w:fill="FFFFFF"/>
        </w:rPr>
      </w:pP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1119" w:leftChars="133" w:right="210" w:rightChars="100" w:hanging="840" w:hangingChars="300"/>
        <w:jc w:val="left"/>
        <w:textAlignment w:val="auto"/>
        <w:rPr>
          <w:rFonts w:hint="eastAsia" w:ascii="仿宋_GB2312" w:hAnsi="宋体" w:eastAsia="仿宋_GB2312" w:cs="Arial"/>
          <w:kern w:val="0"/>
          <w:sz w:val="28"/>
        </w:rPr>
      </w:pPr>
      <w:r>
        <w:rPr>
          <w:rFonts w:hint="eastAsia" w:ascii="仿宋_GB2312" w:eastAsia="仿宋_GB2312"/>
          <w:sz w:val="28"/>
          <w:szCs w:val="28"/>
        </w:rPr>
        <w:t>抄送：</w:t>
      </w:r>
      <w:r>
        <w:rPr>
          <w:rFonts w:hint="eastAsia" w:ascii="仿宋_GB2312" w:hAnsi="宋体" w:eastAsia="仿宋_GB2312" w:cs="Arial"/>
          <w:spacing w:val="-6"/>
          <w:kern w:val="0"/>
          <w:sz w:val="28"/>
        </w:rPr>
        <w:t>各盟行政公署、市人民政府，自治区各委、办、</w:t>
      </w:r>
      <w:r>
        <w:rPr>
          <w:rFonts w:hint="eastAsia" w:ascii="仿宋_GB2312" w:hAnsi="宋体" w:eastAsia="仿宋_GB2312" w:cs="Arial"/>
          <w:kern w:val="0"/>
          <w:sz w:val="28"/>
        </w:rPr>
        <w:t>厅、局，各大企业、事业单位。</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right="210" w:rightChars="100" w:firstLine="1120" w:firstLineChars="400"/>
        <w:jc w:val="left"/>
        <w:textAlignment w:val="auto"/>
        <w:rPr>
          <w:rFonts w:hint="eastAsia" w:ascii="仿宋_GB2312" w:hAnsi="宋体" w:eastAsia="仿宋_GB2312" w:cs="Arial"/>
          <w:kern w:val="0"/>
          <w:sz w:val="28"/>
        </w:rPr>
      </w:pPr>
      <w:r>
        <w:rPr>
          <w:rFonts w:hint="eastAsia" w:ascii="仿宋_GB2312" w:hAnsi="宋体" w:eastAsia="仿宋_GB2312" w:cs="Arial"/>
          <w:kern w:val="0"/>
          <w:sz w:val="28"/>
        </w:rPr>
        <w:t>自治区党委各部门，内蒙古军区，武警内蒙古总队。</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1117" w:leftChars="532" w:right="210" w:rightChars="100" w:firstLine="0" w:firstLineChars="0"/>
        <w:jc w:val="left"/>
        <w:textAlignment w:val="auto"/>
        <w:rPr>
          <w:rFonts w:hint="eastAsia" w:ascii="仿宋_GB2312" w:hAnsi="仿宋_GB2312" w:eastAsia="仿宋_GB2312" w:cs="仿宋_GB2312"/>
          <w:kern w:val="0"/>
          <w:sz w:val="28"/>
          <w:szCs w:val="28"/>
        </w:rPr>
      </w:pPr>
      <w:r>
        <w:rPr>
          <w:rFonts w:hint="eastAsia" w:ascii="仿宋_GB2312" w:hAnsi="宋体" w:eastAsia="仿宋_GB2312" w:cs="Arial"/>
          <w:spacing w:val="6"/>
          <w:kern w:val="0"/>
          <w:sz w:val="28"/>
        </w:rPr>
        <w:t>自治区人大常委会办公厅、政协办公厅，自治区监委，</w:t>
      </w:r>
      <w:r>
        <w:rPr>
          <w:rFonts w:hint="eastAsia" w:ascii="仿宋_GB2312" w:hAnsi="仿宋_GB2312" w:eastAsia="仿宋_GB2312" w:cs="仿宋_GB2312"/>
          <w:kern w:val="0"/>
          <w:sz w:val="28"/>
          <w:szCs w:val="28"/>
        </w:rPr>
        <w:t>自治区高级人民法院，检察院。</w:t>
      </w:r>
    </w:p>
    <w:p>
      <w:pPr>
        <w:keepNext w:val="0"/>
        <w:keepLines w:val="0"/>
        <w:pageBreakBefore w:val="0"/>
        <w:kinsoku/>
        <w:wordWrap/>
        <w:overflowPunct/>
        <w:autoSpaceDE/>
        <w:autoSpaceDN/>
        <w:bidi w:val="0"/>
        <w:adjustRightInd/>
        <w:snapToGrid/>
        <w:spacing w:beforeAutospacing="0" w:afterAutospacing="0"/>
        <w:textAlignment w:val="auto"/>
        <w:rPr>
          <w:rFonts w:hint="eastAsia"/>
        </w:rPr>
      </w:pPr>
    </w:p>
    <w:sectPr>
      <w:headerReference r:id="rId3" w:type="first"/>
      <w:footerReference r:id="rId6" w:type="first"/>
      <w:footerReference r:id="rId4" w:type="default"/>
      <w:footerReference r:id="rId5" w:type="even"/>
      <w:pgSz w:w="11906" w:h="16838"/>
      <w:pgMar w:top="2098" w:right="1474" w:bottom="1701" w:left="1474" w:header="851" w:footer="1417" w:gutter="0"/>
      <w:paperSrc/>
      <w:pgNumType w:fmt="numberInDash"/>
      <w:cols w:space="72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2000000000000"/>
    <w:charset w:val="86"/>
    <w:family w:val="script"/>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top w:val="none" w:color="auto" w:sz="0" w:space="0"/>
        <w:left w:val="none" w:color="auto" w:sz="0" w:space="0"/>
        <w:bottom w:val="none" w:color="auto" w:sz="0" w:space="1"/>
        <w:right w:val="none" w:color="auto" w:sz="0" w:space="0"/>
        <w:between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revisionView w:markup="0"/>
  <w:documentProtection w:edit="trackedChanges"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7065D4"/>
    <w:rsid w:val="00057363"/>
    <w:rsid w:val="001B7709"/>
    <w:rsid w:val="0021215E"/>
    <w:rsid w:val="00302982"/>
    <w:rsid w:val="00323128"/>
    <w:rsid w:val="00337358"/>
    <w:rsid w:val="00351DB4"/>
    <w:rsid w:val="00444154"/>
    <w:rsid w:val="00483E09"/>
    <w:rsid w:val="004B2561"/>
    <w:rsid w:val="006048D6"/>
    <w:rsid w:val="006114C2"/>
    <w:rsid w:val="00755D27"/>
    <w:rsid w:val="00825CE1"/>
    <w:rsid w:val="008408A0"/>
    <w:rsid w:val="00861E84"/>
    <w:rsid w:val="008E482C"/>
    <w:rsid w:val="00AC3BB4"/>
    <w:rsid w:val="00B32830"/>
    <w:rsid w:val="00B33ED2"/>
    <w:rsid w:val="00B52F22"/>
    <w:rsid w:val="00B558E6"/>
    <w:rsid w:val="00B8542C"/>
    <w:rsid w:val="00C809B3"/>
    <w:rsid w:val="00CB0B2B"/>
    <w:rsid w:val="00CC1415"/>
    <w:rsid w:val="00D3579F"/>
    <w:rsid w:val="00DD4FCD"/>
    <w:rsid w:val="00DD700A"/>
    <w:rsid w:val="00DF62D9"/>
    <w:rsid w:val="00E751C2"/>
    <w:rsid w:val="00F71128"/>
    <w:rsid w:val="00F94438"/>
    <w:rsid w:val="02335055"/>
    <w:rsid w:val="028D4F80"/>
    <w:rsid w:val="035F7C5C"/>
    <w:rsid w:val="04A11D86"/>
    <w:rsid w:val="04C86D32"/>
    <w:rsid w:val="05D61646"/>
    <w:rsid w:val="05FB6C1D"/>
    <w:rsid w:val="06DC6B8C"/>
    <w:rsid w:val="07721CAD"/>
    <w:rsid w:val="078A08C1"/>
    <w:rsid w:val="080D022E"/>
    <w:rsid w:val="08B93C20"/>
    <w:rsid w:val="08BE3E1F"/>
    <w:rsid w:val="0A132FFC"/>
    <w:rsid w:val="0A483821"/>
    <w:rsid w:val="0AEA6915"/>
    <w:rsid w:val="0AF047B7"/>
    <w:rsid w:val="0AF61509"/>
    <w:rsid w:val="0B2554BC"/>
    <w:rsid w:val="0B2B3123"/>
    <w:rsid w:val="0B3D4459"/>
    <w:rsid w:val="0BA5396D"/>
    <w:rsid w:val="0C10046C"/>
    <w:rsid w:val="0C721592"/>
    <w:rsid w:val="0C856FCB"/>
    <w:rsid w:val="0CB001ED"/>
    <w:rsid w:val="0CE63998"/>
    <w:rsid w:val="0CF00700"/>
    <w:rsid w:val="0CF10133"/>
    <w:rsid w:val="0D4F7172"/>
    <w:rsid w:val="0D7F0A2A"/>
    <w:rsid w:val="0D9A5826"/>
    <w:rsid w:val="0EC257CD"/>
    <w:rsid w:val="0EE72F51"/>
    <w:rsid w:val="0F267EEA"/>
    <w:rsid w:val="0F3146C7"/>
    <w:rsid w:val="0F80325D"/>
    <w:rsid w:val="103B5B99"/>
    <w:rsid w:val="103D3B8A"/>
    <w:rsid w:val="105B7B8F"/>
    <w:rsid w:val="1114029D"/>
    <w:rsid w:val="113346AA"/>
    <w:rsid w:val="126B6130"/>
    <w:rsid w:val="126F2F63"/>
    <w:rsid w:val="12B95A2A"/>
    <w:rsid w:val="12BE3A7C"/>
    <w:rsid w:val="131446B7"/>
    <w:rsid w:val="137065D4"/>
    <w:rsid w:val="13B7127F"/>
    <w:rsid w:val="13C65B51"/>
    <w:rsid w:val="13F92EC8"/>
    <w:rsid w:val="14C5781B"/>
    <w:rsid w:val="14CB620A"/>
    <w:rsid w:val="14F5569D"/>
    <w:rsid w:val="152373EE"/>
    <w:rsid w:val="153B0B87"/>
    <w:rsid w:val="158350BD"/>
    <w:rsid w:val="15B24606"/>
    <w:rsid w:val="15FD385D"/>
    <w:rsid w:val="167737C8"/>
    <w:rsid w:val="16A94055"/>
    <w:rsid w:val="16F6264D"/>
    <w:rsid w:val="17967E55"/>
    <w:rsid w:val="193C7CBD"/>
    <w:rsid w:val="1A2B6326"/>
    <w:rsid w:val="1A345C46"/>
    <w:rsid w:val="1AAD5D34"/>
    <w:rsid w:val="1AE334B7"/>
    <w:rsid w:val="1BA6417E"/>
    <w:rsid w:val="1BF4474B"/>
    <w:rsid w:val="1CC27FB6"/>
    <w:rsid w:val="1CEF3746"/>
    <w:rsid w:val="1E4D48F1"/>
    <w:rsid w:val="1E6A1215"/>
    <w:rsid w:val="1ECD7FFE"/>
    <w:rsid w:val="203A2575"/>
    <w:rsid w:val="208C3CE1"/>
    <w:rsid w:val="21282181"/>
    <w:rsid w:val="217D23BA"/>
    <w:rsid w:val="22875FDC"/>
    <w:rsid w:val="22965306"/>
    <w:rsid w:val="22C66739"/>
    <w:rsid w:val="247154A4"/>
    <w:rsid w:val="24A0591F"/>
    <w:rsid w:val="24C173C6"/>
    <w:rsid w:val="24CA7E3F"/>
    <w:rsid w:val="25162322"/>
    <w:rsid w:val="25C2321D"/>
    <w:rsid w:val="267514AA"/>
    <w:rsid w:val="267B46AF"/>
    <w:rsid w:val="27116354"/>
    <w:rsid w:val="27355263"/>
    <w:rsid w:val="277F6FA3"/>
    <w:rsid w:val="27B648E1"/>
    <w:rsid w:val="27D0063E"/>
    <w:rsid w:val="27E04077"/>
    <w:rsid w:val="27FD3493"/>
    <w:rsid w:val="28200A80"/>
    <w:rsid w:val="28393524"/>
    <w:rsid w:val="29255FCE"/>
    <w:rsid w:val="29746BF1"/>
    <w:rsid w:val="29DC3F95"/>
    <w:rsid w:val="29F119C9"/>
    <w:rsid w:val="2A674D80"/>
    <w:rsid w:val="2A9823FD"/>
    <w:rsid w:val="2A9B7521"/>
    <w:rsid w:val="2B9617F6"/>
    <w:rsid w:val="2DCC5AD8"/>
    <w:rsid w:val="2E2F44D1"/>
    <w:rsid w:val="2E336E85"/>
    <w:rsid w:val="2E4146B0"/>
    <w:rsid w:val="2E4A12B3"/>
    <w:rsid w:val="2E8D30E4"/>
    <w:rsid w:val="2FBA16A1"/>
    <w:rsid w:val="2FC80A80"/>
    <w:rsid w:val="305A07B7"/>
    <w:rsid w:val="311D11D7"/>
    <w:rsid w:val="31275189"/>
    <w:rsid w:val="3143795C"/>
    <w:rsid w:val="32A82E8F"/>
    <w:rsid w:val="34104CC7"/>
    <w:rsid w:val="34134998"/>
    <w:rsid w:val="34401E1D"/>
    <w:rsid w:val="35AD32E6"/>
    <w:rsid w:val="35C527D3"/>
    <w:rsid w:val="36193767"/>
    <w:rsid w:val="36512810"/>
    <w:rsid w:val="36DB7834"/>
    <w:rsid w:val="370A091C"/>
    <w:rsid w:val="3715102B"/>
    <w:rsid w:val="372114E3"/>
    <w:rsid w:val="37695060"/>
    <w:rsid w:val="38073EC7"/>
    <w:rsid w:val="38F162C0"/>
    <w:rsid w:val="390E4CE4"/>
    <w:rsid w:val="39647534"/>
    <w:rsid w:val="398511E2"/>
    <w:rsid w:val="39C761D3"/>
    <w:rsid w:val="39FE1B8F"/>
    <w:rsid w:val="3A220879"/>
    <w:rsid w:val="3A873F1B"/>
    <w:rsid w:val="3AF80385"/>
    <w:rsid w:val="3B323FE5"/>
    <w:rsid w:val="3B377987"/>
    <w:rsid w:val="3B4D7217"/>
    <w:rsid w:val="3B85133F"/>
    <w:rsid w:val="3BEE0357"/>
    <w:rsid w:val="3BFD1654"/>
    <w:rsid w:val="3C5A1523"/>
    <w:rsid w:val="3C976236"/>
    <w:rsid w:val="3CCD11E5"/>
    <w:rsid w:val="3D11293C"/>
    <w:rsid w:val="3D2702C2"/>
    <w:rsid w:val="3D366C7E"/>
    <w:rsid w:val="3D394FE3"/>
    <w:rsid w:val="3E1B2D02"/>
    <w:rsid w:val="3E362CAF"/>
    <w:rsid w:val="3E8003A9"/>
    <w:rsid w:val="3E961FF4"/>
    <w:rsid w:val="3E9D0F3F"/>
    <w:rsid w:val="3EF567FA"/>
    <w:rsid w:val="3FAB45D3"/>
    <w:rsid w:val="400B1E56"/>
    <w:rsid w:val="40DA33B4"/>
    <w:rsid w:val="411A41FF"/>
    <w:rsid w:val="413E1CE3"/>
    <w:rsid w:val="41412B72"/>
    <w:rsid w:val="414D532A"/>
    <w:rsid w:val="415929D3"/>
    <w:rsid w:val="4166249D"/>
    <w:rsid w:val="420875B1"/>
    <w:rsid w:val="42305214"/>
    <w:rsid w:val="42680780"/>
    <w:rsid w:val="426E2AC9"/>
    <w:rsid w:val="42B16039"/>
    <w:rsid w:val="43512974"/>
    <w:rsid w:val="43660842"/>
    <w:rsid w:val="436C3FDF"/>
    <w:rsid w:val="43980700"/>
    <w:rsid w:val="43CE25A7"/>
    <w:rsid w:val="43DF0C81"/>
    <w:rsid w:val="44080345"/>
    <w:rsid w:val="44971E78"/>
    <w:rsid w:val="45E86A19"/>
    <w:rsid w:val="45F26408"/>
    <w:rsid w:val="46046525"/>
    <w:rsid w:val="46271700"/>
    <w:rsid w:val="469B0AC0"/>
    <w:rsid w:val="46A3051D"/>
    <w:rsid w:val="47C20408"/>
    <w:rsid w:val="47E63285"/>
    <w:rsid w:val="49021360"/>
    <w:rsid w:val="49037A39"/>
    <w:rsid w:val="492D0A0B"/>
    <w:rsid w:val="49724A92"/>
    <w:rsid w:val="499C299E"/>
    <w:rsid w:val="49FD694C"/>
    <w:rsid w:val="4B37103D"/>
    <w:rsid w:val="4B8940C2"/>
    <w:rsid w:val="4BD3395D"/>
    <w:rsid w:val="4C110500"/>
    <w:rsid w:val="4C3F4287"/>
    <w:rsid w:val="4CC83903"/>
    <w:rsid w:val="4CF711B3"/>
    <w:rsid w:val="4CFEE10D"/>
    <w:rsid w:val="4D801A85"/>
    <w:rsid w:val="4DBA2766"/>
    <w:rsid w:val="4DCF20A3"/>
    <w:rsid w:val="4E3C7EC7"/>
    <w:rsid w:val="4F810FB1"/>
    <w:rsid w:val="4FCC2AFB"/>
    <w:rsid w:val="4FD33F1F"/>
    <w:rsid w:val="504E74DB"/>
    <w:rsid w:val="50725498"/>
    <w:rsid w:val="50740D7B"/>
    <w:rsid w:val="511F6A53"/>
    <w:rsid w:val="51312FC0"/>
    <w:rsid w:val="51656A05"/>
    <w:rsid w:val="519776B8"/>
    <w:rsid w:val="533E12B3"/>
    <w:rsid w:val="53513968"/>
    <w:rsid w:val="53A97B2F"/>
    <w:rsid w:val="53E63B58"/>
    <w:rsid w:val="5470600F"/>
    <w:rsid w:val="549163AB"/>
    <w:rsid w:val="551063E8"/>
    <w:rsid w:val="555149C9"/>
    <w:rsid w:val="559D536E"/>
    <w:rsid w:val="56266D96"/>
    <w:rsid w:val="56870F31"/>
    <w:rsid w:val="569A1AF2"/>
    <w:rsid w:val="5716316A"/>
    <w:rsid w:val="573D66EF"/>
    <w:rsid w:val="578D583C"/>
    <w:rsid w:val="57BEE5F8"/>
    <w:rsid w:val="58157447"/>
    <w:rsid w:val="5950646C"/>
    <w:rsid w:val="59614558"/>
    <w:rsid w:val="59B125E9"/>
    <w:rsid w:val="5AFBBA50"/>
    <w:rsid w:val="5B294E7E"/>
    <w:rsid w:val="5CFF14C9"/>
    <w:rsid w:val="5D090548"/>
    <w:rsid w:val="5D3D48DC"/>
    <w:rsid w:val="5D7328E4"/>
    <w:rsid w:val="5E6B73AA"/>
    <w:rsid w:val="5F2266FC"/>
    <w:rsid w:val="5F8A5C0F"/>
    <w:rsid w:val="5F945C55"/>
    <w:rsid w:val="5FC47C57"/>
    <w:rsid w:val="5FCE25D8"/>
    <w:rsid w:val="5FEF3D5C"/>
    <w:rsid w:val="601A1F98"/>
    <w:rsid w:val="604307FB"/>
    <w:rsid w:val="60465BF4"/>
    <w:rsid w:val="612A5090"/>
    <w:rsid w:val="61852B39"/>
    <w:rsid w:val="61A26734"/>
    <w:rsid w:val="61A91C04"/>
    <w:rsid w:val="61B614C6"/>
    <w:rsid w:val="62187DDA"/>
    <w:rsid w:val="62472391"/>
    <w:rsid w:val="627B690C"/>
    <w:rsid w:val="62B83854"/>
    <w:rsid w:val="62DA5795"/>
    <w:rsid w:val="62E667CC"/>
    <w:rsid w:val="6368795B"/>
    <w:rsid w:val="63923E95"/>
    <w:rsid w:val="63BF6C14"/>
    <w:rsid w:val="64683DD0"/>
    <w:rsid w:val="64BB255F"/>
    <w:rsid w:val="64DE5839"/>
    <w:rsid w:val="65177729"/>
    <w:rsid w:val="65995C35"/>
    <w:rsid w:val="65B05B91"/>
    <w:rsid w:val="65F35DDF"/>
    <w:rsid w:val="663A75D7"/>
    <w:rsid w:val="6698713A"/>
    <w:rsid w:val="670F22EA"/>
    <w:rsid w:val="674D5F13"/>
    <w:rsid w:val="67C742AE"/>
    <w:rsid w:val="67EC3572"/>
    <w:rsid w:val="67EF2779"/>
    <w:rsid w:val="68C13D1E"/>
    <w:rsid w:val="68E9013E"/>
    <w:rsid w:val="691540EA"/>
    <w:rsid w:val="699A1BA4"/>
    <w:rsid w:val="69AA7AA3"/>
    <w:rsid w:val="69C445E2"/>
    <w:rsid w:val="69E50BB6"/>
    <w:rsid w:val="6A0E4899"/>
    <w:rsid w:val="6A695FAC"/>
    <w:rsid w:val="6ADE316A"/>
    <w:rsid w:val="6B855374"/>
    <w:rsid w:val="6BDB6D16"/>
    <w:rsid w:val="6C7D77AC"/>
    <w:rsid w:val="6CF51CDA"/>
    <w:rsid w:val="6D4C5426"/>
    <w:rsid w:val="6EB7F2FF"/>
    <w:rsid w:val="6EBFFEE6"/>
    <w:rsid w:val="6F82233A"/>
    <w:rsid w:val="6FD1483B"/>
    <w:rsid w:val="6FF83A65"/>
    <w:rsid w:val="708F45F7"/>
    <w:rsid w:val="7095776A"/>
    <w:rsid w:val="70AF0F25"/>
    <w:rsid w:val="711B6129"/>
    <w:rsid w:val="717B4E87"/>
    <w:rsid w:val="723904AD"/>
    <w:rsid w:val="72C12B57"/>
    <w:rsid w:val="72E07560"/>
    <w:rsid w:val="72F9578E"/>
    <w:rsid w:val="746F0BC3"/>
    <w:rsid w:val="74807D7B"/>
    <w:rsid w:val="75334828"/>
    <w:rsid w:val="754151A9"/>
    <w:rsid w:val="757679FC"/>
    <w:rsid w:val="757D5D71"/>
    <w:rsid w:val="758B4E6B"/>
    <w:rsid w:val="75D447F8"/>
    <w:rsid w:val="76046D3E"/>
    <w:rsid w:val="760544DC"/>
    <w:rsid w:val="76167F2F"/>
    <w:rsid w:val="76240541"/>
    <w:rsid w:val="763D5043"/>
    <w:rsid w:val="76BD064F"/>
    <w:rsid w:val="7718704B"/>
    <w:rsid w:val="772E3E40"/>
    <w:rsid w:val="77E772DB"/>
    <w:rsid w:val="79A24ECF"/>
    <w:rsid w:val="79B21925"/>
    <w:rsid w:val="79EB7917"/>
    <w:rsid w:val="7A2702D7"/>
    <w:rsid w:val="7A5933D5"/>
    <w:rsid w:val="7A700FB2"/>
    <w:rsid w:val="7AB02F40"/>
    <w:rsid w:val="7BAA0669"/>
    <w:rsid w:val="7C4B1EE2"/>
    <w:rsid w:val="7C7734A3"/>
    <w:rsid w:val="7C9871FE"/>
    <w:rsid w:val="7CC53C33"/>
    <w:rsid w:val="7D1850A2"/>
    <w:rsid w:val="7D2D3A6A"/>
    <w:rsid w:val="7DE53FCF"/>
    <w:rsid w:val="7DFB1422"/>
    <w:rsid w:val="7E771200"/>
    <w:rsid w:val="7E7E6A75"/>
    <w:rsid w:val="7ED225D1"/>
    <w:rsid w:val="7EF7462E"/>
    <w:rsid w:val="7F358107"/>
    <w:rsid w:val="7F4A56A6"/>
    <w:rsid w:val="7F5B0A35"/>
    <w:rsid w:val="7F6B155F"/>
    <w:rsid w:val="7FC84412"/>
    <w:rsid w:val="7FE95324"/>
    <w:rsid w:val="7FFC4DA3"/>
    <w:rsid w:val="BDAF228A"/>
    <w:rsid w:val="BF7FD23B"/>
    <w:rsid w:val="D3EB2B8F"/>
    <w:rsid w:val="DADFB81A"/>
    <w:rsid w:val="DF8FD15B"/>
    <w:rsid w:val="EC770AC4"/>
    <w:rsid w:val="F1FF5E39"/>
    <w:rsid w:val="F79BE302"/>
    <w:rsid w:val="F9D7DCD1"/>
    <w:rsid w:val="FD274FAE"/>
    <w:rsid w:val="FD6F1194"/>
    <w:rsid w:val="FFFF052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rFonts w:ascii="宋体" w:hAnsi="宋体" w:eastAsia="宋体" w:cs="Times New Roman"/>
      <w:b/>
      <w:bCs/>
      <w:kern w:val="44"/>
      <w:sz w:val="44"/>
      <w:szCs w:val="44"/>
    </w:rPr>
  </w:style>
  <w:style w:type="character" w:default="1" w:styleId="25">
    <w:name w:val="Default Paragraph Font"/>
    <w:semiHidden/>
    <w:uiPriority w:val="0"/>
  </w:style>
  <w:style w:type="table" w:default="1" w:styleId="23">
    <w:name w:val="Normal Table"/>
    <w:semiHidden/>
    <w:uiPriority w:val="0"/>
    <w:tblPr>
      <w:tblStyle w:val="23"/>
      <w:tblLayout w:type="fixed"/>
      <w:tblCellMar>
        <w:top w:w="0" w:type="dxa"/>
        <w:left w:w="108" w:type="dxa"/>
        <w:bottom w:w="0" w:type="dxa"/>
        <w:right w:w="108" w:type="dxa"/>
      </w:tblCellMar>
    </w:tblPr>
  </w:style>
  <w:style w:type="paragraph" w:customStyle="1" w:styleId="2">
    <w:name w:val="表格"/>
    <w:basedOn w:val="1"/>
    <w:qFormat/>
    <w:uiPriority w:val="0"/>
    <w:pPr>
      <w:autoSpaceDE w:val="0"/>
      <w:autoSpaceDN w:val="0"/>
      <w:jc w:val="center"/>
      <w:textAlignment w:val="baseline"/>
    </w:pPr>
    <w:rPr>
      <w:rFonts w:ascii="楷体_GB2312" w:hAnsi="楷体_GB2312" w:eastAsia="楷体_GB2312" w:cs="Times New Roman"/>
      <w:color w:val="000000"/>
      <w:kern w:val="0"/>
      <w:sz w:val="32"/>
      <w:szCs w:val="24"/>
    </w:rPr>
  </w:style>
  <w:style w:type="paragraph" w:styleId="4">
    <w:name w:val="table of authorities"/>
    <w:basedOn w:val="1"/>
    <w:next w:val="1"/>
    <w:qFormat/>
    <w:uiPriority w:val="0"/>
    <w:rPr>
      <w:rFonts w:ascii="Times New Roman" w:hAnsi="Times New Roman" w:eastAsia="宋体" w:cs="Times New Roman"/>
      <w:sz w:val="32"/>
      <w:szCs w:val="24"/>
    </w:rPr>
  </w:style>
  <w:style w:type="paragraph" w:styleId="5">
    <w:name w:val="Normal Indent"/>
    <w:basedOn w:val="1"/>
    <w:next w:val="1"/>
    <w:qFormat/>
    <w:uiPriority w:val="0"/>
    <w:pPr>
      <w:ind w:firstLine="567"/>
    </w:pPr>
    <w:rPr>
      <w:rFonts w:ascii="Calibri" w:hAnsi="Calibri" w:eastAsia="宋体" w:cs="Times New Roman"/>
      <w:sz w:val="28"/>
      <w:szCs w:val="28"/>
    </w:rPr>
  </w:style>
  <w:style w:type="paragraph" w:styleId="6">
    <w:name w:val="index 5"/>
    <w:basedOn w:val="1"/>
    <w:next w:val="1"/>
    <w:qFormat/>
    <w:uiPriority w:val="0"/>
    <w:pPr>
      <w:ind w:left="1680"/>
    </w:pPr>
    <w:rPr>
      <w:rFonts w:ascii="宋体" w:hAnsi="宋体" w:eastAsia="宋体" w:cs="Times New Roman"/>
      <w:sz w:val="32"/>
      <w:szCs w:val="24"/>
    </w:rPr>
  </w:style>
  <w:style w:type="paragraph" w:styleId="7">
    <w:name w:val="Body Text"/>
    <w:basedOn w:val="1"/>
    <w:next w:val="8"/>
    <w:uiPriority w:val="0"/>
    <w:rPr>
      <w:rFonts w:ascii="宋体" w:hAnsi="宋体" w:eastAsia="宋体" w:cs="Times New Roman"/>
      <w:sz w:val="44"/>
      <w:szCs w:val="24"/>
    </w:rPr>
  </w:style>
  <w:style w:type="paragraph" w:styleId="8">
    <w:name w:val="Body Text 2"/>
    <w:basedOn w:val="1"/>
    <w:unhideWhenUsed/>
    <w:qFormat/>
    <w:uiPriority w:val="99"/>
    <w:pPr>
      <w:spacing w:after="120" w:line="480" w:lineRule="auto"/>
    </w:pPr>
    <w:rPr>
      <w:rFonts w:ascii="宋体" w:hAnsi="宋体" w:eastAsia="宋体" w:cs="Times New Roman"/>
      <w:sz w:val="32"/>
      <w:szCs w:val="24"/>
    </w:rPr>
  </w:style>
  <w:style w:type="paragraph" w:styleId="9">
    <w:name w:val="Body Text Indent"/>
    <w:basedOn w:val="1"/>
    <w:next w:val="1"/>
    <w:qFormat/>
    <w:uiPriority w:val="0"/>
    <w:pPr>
      <w:ind w:firstLine="552" w:firstLineChars="200"/>
    </w:pPr>
    <w:rPr>
      <w:rFonts w:ascii="宋体" w:hAnsi="宋体" w:eastAsia="宋体" w:cs="Times New Roman"/>
      <w:spacing w:val="-2"/>
      <w:sz w:val="28"/>
      <w:szCs w:val="24"/>
    </w:rPr>
  </w:style>
  <w:style w:type="paragraph" w:styleId="10">
    <w:name w:val="toc 3"/>
    <w:basedOn w:val="1"/>
    <w:next w:val="1"/>
    <w:qFormat/>
    <w:uiPriority w:val="0"/>
    <w:pPr>
      <w:spacing w:line="560" w:lineRule="exact"/>
      <w:ind w:firstLine="640" w:firstLineChars="200"/>
    </w:pPr>
    <w:rPr>
      <w:rFonts w:ascii="楷体" w:hAnsi="楷体" w:eastAsia="楷体" w:cs="仿宋"/>
      <w:sz w:val="32"/>
      <w:szCs w:val="32"/>
    </w:rPr>
  </w:style>
  <w:style w:type="paragraph" w:styleId="11">
    <w:name w:val="Plain Text"/>
    <w:basedOn w:val="1"/>
    <w:uiPriority w:val="0"/>
    <w:rPr>
      <w:rFonts w:ascii="宋体" w:hAnsi="Courier New" w:eastAsia="宋体" w:cs="Courier New"/>
      <w:sz w:val="32"/>
      <w:szCs w:val="21"/>
    </w:rPr>
  </w:style>
  <w:style w:type="paragraph" w:styleId="12">
    <w:name w:val="footer"/>
    <w:basedOn w:val="1"/>
    <w:link w:val="45"/>
    <w:uiPriority w:val="0"/>
    <w:pPr>
      <w:tabs>
        <w:tab w:val="center" w:pos="4153"/>
        <w:tab w:val="right" w:pos="8306"/>
      </w:tabs>
      <w:snapToGrid w:val="0"/>
      <w:jc w:val="left"/>
    </w:pPr>
    <w:rPr>
      <w:sz w:val="18"/>
      <w:szCs w:val="18"/>
    </w:rPr>
  </w:style>
  <w:style w:type="paragraph" w:styleId="13">
    <w:name w:val="header"/>
    <w:basedOn w:val="1"/>
    <w:link w:val="46"/>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uiPriority w:val="0"/>
    <w:pPr>
      <w:tabs>
        <w:tab w:val="right" w:leader="dot" w:pos="8239"/>
      </w:tabs>
    </w:pPr>
    <w:rPr>
      <w:rFonts w:ascii="宋体" w:hAnsi="宋体" w:eastAsia="宋体" w:cs="Times New Roman"/>
      <w:sz w:val="32"/>
      <w:szCs w:val="24"/>
    </w:rPr>
  </w:style>
  <w:style w:type="paragraph" w:styleId="15">
    <w:name w:val="toc 2"/>
    <w:basedOn w:val="1"/>
    <w:next w:val="1"/>
    <w:unhideWhenUsed/>
    <w:qFormat/>
    <w:uiPriority w:val="39"/>
    <w:pPr>
      <w:ind w:left="420" w:leftChars="200"/>
    </w:pPr>
    <w:rPr>
      <w:rFonts w:ascii="仿宋" w:hAnsi="仿宋" w:eastAsia="仿宋" w:cs="Times New Roman"/>
      <w:sz w:val="32"/>
      <w:szCs w:val="32"/>
    </w:rPr>
  </w:style>
  <w:style w:type="paragraph" w:styleId="16">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eastAsia="宋体" w:cs="Arial"/>
      <w:kern w:val="0"/>
      <w:sz w:val="24"/>
      <w:szCs w:val="24"/>
      <w:lang w:val="en-US" w:eastAsia="zh-CN" w:bidi="ar-SA"/>
    </w:rPr>
  </w:style>
  <w:style w:type="paragraph" w:styleId="17">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18">
    <w:name w:val="index 1"/>
    <w:basedOn w:val="1"/>
    <w:next w:val="1"/>
    <w:uiPriority w:val="0"/>
    <w:rPr>
      <w:rFonts w:ascii="宋体" w:hAnsi="宋体" w:eastAsia="宋体" w:cs="Times New Roman"/>
      <w:sz w:val="32"/>
      <w:szCs w:val="24"/>
    </w:rPr>
  </w:style>
  <w:style w:type="paragraph" w:styleId="19">
    <w:name w:val="Title"/>
    <w:basedOn w:val="1"/>
    <w:next w:val="20"/>
    <w:qFormat/>
    <w:uiPriority w:val="0"/>
    <w:pPr>
      <w:spacing w:before="240" w:after="60"/>
      <w:jc w:val="center"/>
      <w:textAlignment w:val="baseline"/>
    </w:pPr>
    <w:rPr>
      <w:rFonts w:ascii="Cambria" w:hAnsi="Cambria" w:eastAsia="宋体" w:cs="Times New Roman"/>
      <w:b/>
      <w:bCs/>
      <w:kern w:val="2"/>
      <w:sz w:val="32"/>
      <w:szCs w:val="32"/>
      <w:lang w:val="en-US" w:eastAsia="zh-CN" w:bidi="ar-SA"/>
    </w:rPr>
  </w:style>
  <w:style w:type="paragraph" w:customStyle="1" w:styleId="20">
    <w:name w:val="BodyTextIndent"/>
    <w:basedOn w:val="1"/>
    <w:qFormat/>
    <w:uiPriority w:val="0"/>
    <w:pPr>
      <w:snapToGrid w:val="0"/>
      <w:spacing w:line="660" w:lineRule="exact"/>
      <w:ind w:left="420" w:leftChars="200"/>
      <w:jc w:val="both"/>
      <w:textAlignment w:val="baseline"/>
    </w:pPr>
    <w:rPr>
      <w:rFonts w:ascii="Times New Roman" w:hAnsi="Times New Roman" w:eastAsia="仿宋_GB2312" w:cs="Times New Roman"/>
      <w:kern w:val="2"/>
      <w:sz w:val="36"/>
      <w:szCs w:val="36"/>
      <w:lang w:val="en-US" w:eastAsia="zh-CN" w:bidi="ar-SA"/>
    </w:rPr>
  </w:style>
  <w:style w:type="paragraph" w:styleId="21">
    <w:name w:val="Body Text First Indent"/>
    <w:basedOn w:val="7"/>
    <w:next w:val="22"/>
    <w:qFormat/>
    <w:uiPriority w:val="0"/>
    <w:pPr>
      <w:spacing w:after="120"/>
      <w:ind w:firstLine="420" w:firstLineChars="100"/>
      <w:jc w:val="both"/>
    </w:pPr>
    <w:rPr>
      <w:sz w:val="24"/>
    </w:rPr>
  </w:style>
  <w:style w:type="paragraph" w:styleId="22">
    <w:name w:val="Body Text First Indent 2"/>
    <w:basedOn w:val="9"/>
    <w:next w:val="1"/>
    <w:qFormat/>
    <w:uiPriority w:val="0"/>
    <w:pPr>
      <w:spacing w:line="360" w:lineRule="auto"/>
      <w:ind w:firstLine="420" w:firstLineChars="200"/>
    </w:pPr>
    <w:rPr>
      <w:szCs w:val="24"/>
    </w:rPr>
  </w:style>
  <w:style w:type="table" w:styleId="24">
    <w:name w:val="Table Grid"/>
    <w:basedOn w:val="23"/>
    <w:uiPriority w:val="0"/>
    <w:pPr>
      <w:widowControl w:val="0"/>
      <w:jc w:val="both"/>
    </w:pPr>
    <w:tblPr>
      <w:tblStyle w:val="2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26">
    <w:name w:val="Strong"/>
    <w:basedOn w:val="25"/>
    <w:qFormat/>
    <w:uiPriority w:val="0"/>
    <w:rPr>
      <w:rFonts w:ascii="Arial" w:hAnsi="Arial" w:eastAsia="宋体" w:cs="Times New Roman"/>
      <w:b/>
      <w:sz w:val="20"/>
      <w:szCs w:val="20"/>
    </w:rPr>
  </w:style>
  <w:style w:type="character" w:styleId="27">
    <w:name w:val="page number"/>
    <w:basedOn w:val="25"/>
    <w:uiPriority w:val="0"/>
  </w:style>
  <w:style w:type="paragraph" w:customStyle="1" w:styleId="28">
    <w:name w:val="A样式 小四 行距: 1.5 倍行距 首行缩进:  2 字符"/>
    <w:basedOn w:val="1"/>
    <w:qFormat/>
    <w:uiPriority w:val="0"/>
    <w:pPr>
      <w:spacing w:line="360" w:lineRule="auto"/>
      <w:ind w:firstLine="480" w:firstLineChars="200"/>
    </w:pPr>
    <w:rPr>
      <w:rFonts w:ascii="宋体" w:hAnsi="宋体" w:eastAsia="宋体" w:cs="宋体"/>
      <w:sz w:val="24"/>
      <w:szCs w:val="20"/>
    </w:rPr>
  </w:style>
  <w:style w:type="paragraph" w:customStyle="1" w:styleId="29">
    <w:name w:val="TOC1"/>
    <w:basedOn w:val="1"/>
    <w:next w:val="1"/>
    <w:qFormat/>
    <w:uiPriority w:val="0"/>
    <w:rPr>
      <w:rFonts w:ascii="宋体" w:hAnsi="宋体" w:eastAsia="宋体" w:cs="Times New Roman"/>
      <w:sz w:val="32"/>
      <w:szCs w:val="24"/>
    </w:rPr>
  </w:style>
  <w:style w:type="paragraph" w:customStyle="1" w:styleId="30">
    <w:name w:val="BodyText"/>
    <w:basedOn w:val="1"/>
    <w:qFormat/>
    <w:uiPriority w:val="0"/>
    <w:pPr>
      <w:spacing w:after="120"/>
      <w:textAlignment w:val="baseline"/>
    </w:pPr>
    <w:rPr>
      <w:rFonts w:ascii="宋体" w:hAnsi="宋体" w:eastAsia="仿宋_GB2312" w:cs="Times New Roman"/>
      <w:sz w:val="32"/>
      <w:szCs w:val="24"/>
    </w:rPr>
  </w:style>
  <w:style w:type="paragraph" w:customStyle="1" w:styleId="31">
    <w:name w:val="p0"/>
    <w:basedOn w:val="1"/>
    <w:qFormat/>
    <w:uiPriority w:val="0"/>
    <w:pPr>
      <w:widowControl/>
    </w:pPr>
    <w:rPr>
      <w:rFonts w:ascii="Times New Roman" w:hAnsi="Times New Roman" w:eastAsia="宋体" w:cs="Times New Roman"/>
      <w:sz w:val="32"/>
      <w:szCs w:val="21"/>
    </w:rPr>
  </w:style>
  <w:style w:type="paragraph" w:customStyle="1" w:styleId="32">
    <w:name w:val="Body Text First Indent 21"/>
    <w:basedOn w:val="33"/>
    <w:qFormat/>
    <w:uiPriority w:val="0"/>
    <w:pPr>
      <w:ind w:left="0" w:firstLine="420"/>
    </w:pPr>
    <w:rPr>
      <w:rFonts w:ascii="仿宋_GB2312" w:eastAsia="仿宋_GB2312" w:cs="仿宋_GB2312"/>
      <w:sz w:val="32"/>
      <w:szCs w:val="32"/>
    </w:rPr>
  </w:style>
  <w:style w:type="paragraph" w:customStyle="1" w:styleId="33">
    <w:name w:val="Body Text Indent1"/>
    <w:basedOn w:val="1"/>
    <w:qFormat/>
    <w:uiPriority w:val="0"/>
    <w:pPr>
      <w:spacing w:after="120"/>
      <w:ind w:left="420" w:leftChars="200"/>
    </w:pPr>
    <w:rPr>
      <w:rFonts w:ascii="Times New Roman" w:hAnsi="Times New Roman" w:eastAsia="宋体" w:cs="Times New Roman"/>
      <w:sz w:val="32"/>
      <w:szCs w:val="24"/>
    </w:rPr>
  </w:style>
  <w:style w:type="paragraph" w:customStyle="1" w:styleId="34">
    <w:name w:val="公文标题"/>
    <w:basedOn w:val="1"/>
    <w:qFormat/>
    <w:uiPriority w:val="0"/>
    <w:pPr>
      <w:spacing w:line="600" w:lineRule="exact"/>
      <w:ind w:firstLine="0" w:firstLineChars="0"/>
      <w:jc w:val="center"/>
    </w:pPr>
    <w:rPr>
      <w:rFonts w:ascii="方正小标宋_GBK" w:hAnsi="Times New Roman" w:eastAsia="宋体" w:cs="宋体"/>
      <w:b/>
      <w:sz w:val="36"/>
      <w:szCs w:val="20"/>
    </w:rPr>
  </w:style>
  <w:style w:type="paragraph" w:customStyle="1" w:styleId="35">
    <w:name w:val="页脚1"/>
    <w:qFormat/>
    <w:uiPriority w:val="0"/>
    <w:pPr>
      <w:widowControl w:val="0"/>
      <w:tabs>
        <w:tab w:val="center" w:pos="4153"/>
        <w:tab w:val="right" w:pos="8306"/>
      </w:tabs>
    </w:pPr>
    <w:rPr>
      <w:rFonts w:ascii="宋体" w:hAnsi="宋体" w:eastAsia="宋体" w:cs="宋体"/>
      <w:color w:val="000000"/>
      <w:kern w:val="2"/>
      <w:sz w:val="18"/>
      <w:szCs w:val="18"/>
      <w:lang w:val="en-US" w:eastAsia="zh-CN" w:bidi="ar-SA"/>
    </w:rPr>
  </w:style>
  <w:style w:type="paragraph" w:customStyle="1" w:styleId="36">
    <w:name w:val="TOC2"/>
    <w:basedOn w:val="1"/>
    <w:next w:val="1"/>
    <w:qFormat/>
    <w:uiPriority w:val="0"/>
    <w:pPr>
      <w:ind w:left="210"/>
      <w:jc w:val="left"/>
    </w:pPr>
    <w:rPr>
      <w:rFonts w:ascii="宋体" w:hAnsi="宋体" w:eastAsia="宋体" w:cs="Times New Roman"/>
      <w:smallCaps/>
      <w:sz w:val="20"/>
      <w:szCs w:val="20"/>
    </w:rPr>
  </w:style>
  <w:style w:type="paragraph" w:customStyle="1" w:styleId="37">
    <w:name w:val="样式4"/>
    <w:basedOn w:val="1"/>
    <w:uiPriority w:val="0"/>
    <w:rPr>
      <w:rFonts w:ascii="宋体" w:hAnsi="宋体" w:eastAsia="宋体" w:cs="Times New Roman"/>
      <w:sz w:val="32"/>
      <w:szCs w:val="24"/>
    </w:rPr>
  </w:style>
  <w:style w:type="paragraph" w:customStyle="1" w:styleId="38">
    <w:name w:val="默认段落字体 Para Char Char Char Char"/>
    <w:basedOn w:val="1"/>
    <w:qFormat/>
    <w:uiPriority w:val="0"/>
    <w:rPr>
      <w:rFonts w:ascii="宋体" w:hAnsi="宋体" w:eastAsia="宋体" w:cs="Times New Roman"/>
      <w:sz w:val="24"/>
      <w:szCs w:val="20"/>
    </w:rPr>
  </w:style>
  <w:style w:type="paragraph" w:customStyle="1" w:styleId="39">
    <w:name w:val="Char"/>
    <w:basedOn w:val="1"/>
    <w:qFormat/>
    <w:uiPriority w:val="99"/>
    <w:rPr>
      <w:rFonts w:ascii="宋体" w:hAnsi="宋体" w:eastAsia="宋体" w:cs="Times New Roman"/>
      <w:sz w:val="24"/>
      <w:szCs w:val="24"/>
    </w:rPr>
  </w:style>
  <w:style w:type="paragraph" w:customStyle="1" w:styleId="40">
    <w:name w:val="默认段落字体 Para Char Char Char Char Char Char Char"/>
    <w:basedOn w:val="1"/>
    <w:uiPriority w:val="0"/>
    <w:rPr>
      <w:rFonts w:ascii="Arial" w:hAnsi="Arial" w:eastAsia="宋体" w:cs="Arial"/>
      <w:sz w:val="20"/>
      <w:szCs w:val="20"/>
    </w:rPr>
  </w:style>
  <w:style w:type="paragraph" w:customStyle="1" w:styleId="41">
    <w:name w:val="样式5"/>
    <w:basedOn w:val="1"/>
    <w:uiPriority w:val="0"/>
    <w:pPr>
      <w:ind w:firstLine="552" w:firstLineChars="200"/>
    </w:pPr>
    <w:rPr>
      <w:rFonts w:ascii="宋体" w:hAnsi="宋体" w:eastAsia="宋体" w:cs="Times New Roman"/>
      <w:spacing w:val="-2"/>
      <w:sz w:val="28"/>
      <w:szCs w:val="24"/>
    </w:rPr>
  </w:style>
  <w:style w:type="paragraph" w:styleId="42">
    <w:name w:val="List Paragraph"/>
    <w:basedOn w:val="1"/>
    <w:qFormat/>
    <w:uiPriority w:val="99"/>
    <w:pPr>
      <w:ind w:firstLine="420" w:firstLineChars="200"/>
    </w:pPr>
    <w:rPr>
      <w:rFonts w:ascii="Calibri" w:hAnsi="Calibri" w:eastAsia="宋体" w:cs="Times New Roman"/>
      <w:sz w:val="21"/>
      <w:szCs w:val="22"/>
    </w:rPr>
  </w:style>
  <w:style w:type="paragraph" w:customStyle="1" w:styleId="43">
    <w:name w:val="正文 A"/>
    <w:qFormat/>
    <w:uiPriority w:val="0"/>
    <w:pPr>
      <w:widowControl w:val="0"/>
      <w:jc w:val="both"/>
    </w:pPr>
    <w:rPr>
      <w:rFonts w:ascii="宋体" w:hAnsi="宋体" w:eastAsia="宋体" w:cs="宋体"/>
      <w:color w:val="000000"/>
      <w:kern w:val="2"/>
      <w:sz w:val="32"/>
      <w:szCs w:val="32"/>
      <w:lang w:val="en-US" w:eastAsia="zh-CN" w:bidi="ar-SA"/>
    </w:rPr>
  </w:style>
  <w:style w:type="paragraph" w:customStyle="1" w:styleId="44">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45">
    <w:name w:val="页脚 Char"/>
    <w:link w:val="12"/>
    <w:uiPriority w:val="99"/>
    <w:rPr>
      <w:rFonts w:ascii="Calibri" w:hAnsi="Calibri" w:eastAsia="宋体" w:cs="Times New Roman"/>
      <w:kern w:val="2"/>
      <w:sz w:val="18"/>
      <w:szCs w:val="18"/>
    </w:rPr>
  </w:style>
  <w:style w:type="character" w:customStyle="1" w:styleId="46">
    <w:name w:val="页眉 Char"/>
    <w:link w:val="13"/>
    <w:uiPriority w:val="99"/>
    <w:rPr>
      <w:rFonts w:ascii="Calibri" w:hAnsi="Calibri" w:eastAsia="宋体" w:cs="Times New Roman"/>
      <w:kern w:val="2"/>
      <w:sz w:val="18"/>
      <w:szCs w:val="18"/>
    </w:rPr>
  </w:style>
  <w:style w:type="character" w:customStyle="1" w:styleId="47">
    <w:name w:val="UserStyle_0"/>
    <w:qFormat/>
    <w:uiPriority w:val="0"/>
    <w:rPr>
      <w:rFonts w:ascii="Times New Roman" w:hAnsi="Times New Roman" w:eastAsia="宋体" w:cs="Times New Roman"/>
    </w:rPr>
  </w:style>
  <w:style w:type="character" w:customStyle="1" w:styleId="48">
    <w:name w:val="10"/>
    <w:basedOn w:val="25"/>
    <w:uiPriority w:val="0"/>
    <w:rPr>
      <w:rFonts w:hint="default" w:ascii="Times New Roman" w:hAnsi="Times New Roman" w:eastAsia="宋体" w:cs="Times New Roman"/>
      <w:sz w:val="24"/>
      <w:szCs w:val="24"/>
    </w:rPr>
  </w:style>
  <w:style w:type="character" w:customStyle="1" w:styleId="49">
    <w:name w:val="PageNumber"/>
    <w:basedOn w:val="50"/>
    <w:qFormat/>
    <w:uiPriority w:val="0"/>
  </w:style>
  <w:style w:type="character" w:customStyle="1" w:styleId="50">
    <w:name w:val="NormalCharacter"/>
    <w:semiHidden/>
    <w:qFormat/>
    <w:uiPriority w:val="0"/>
    <w:rPr>
      <w:rFonts w:ascii="宋体" w:hAnsi="宋体" w:eastAsia="宋体" w:cs="Times New Roman"/>
      <w:kern w:val="2"/>
      <w:sz w:val="32"/>
      <w:szCs w:val="24"/>
      <w:lang w:val="en-US" w:eastAsia="zh-CN" w:bidi="ar-SA"/>
    </w:rPr>
  </w:style>
  <w:style w:type="character" w:customStyle="1" w:styleId="51">
    <w:name w:val="UserStyle_1"/>
    <w:qFormat/>
    <w:uiPriority w:val="0"/>
    <w:rPr>
      <w:rFonts w:ascii="Times New Roman" w:hAnsi="Times New Roman" w:eastAsia="宋体" w:cs="Times New Roman"/>
    </w:rPr>
  </w:style>
  <w:style w:type="character" w:customStyle="1" w:styleId="52">
    <w:name w:val="15"/>
    <w:basedOn w:val="25"/>
    <w:uiPriority w:val="0"/>
    <w:rPr>
      <w:rFonts w:hint="default" w:ascii="Times New Roman" w:hAnsi="Times New Roman" w:eastAsia="宋体" w:cs="Times New Roman"/>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Template>
  <Company>Lenovo (Beijing) Limited</Company>
  <Pages>1</Pages>
  <Words>3</Words>
  <Characters>21</Characters>
  <Lines>1</Lines>
  <Paragraphs>1</Paragraphs>
  <TotalTime>2</TotalTime>
  <ScaleCrop>false</ScaleCrop>
  <LinksUpToDate>false</LinksUpToDate>
  <CharactersWithSpaces>23</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2021-12-14T10:21:00Z</dcterms:created>
  <dc:creator>王蕾:打印</dc:creator>
  <cp:lastModifiedBy>哈斯高娃:返回拟稿人</cp:lastModifiedBy>
  <dcterms:modified xsi:type="dcterms:W3CDTF">2024-04-03T04:01:45Z</dcterms:modified>
  <dc:title>_x0001_</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