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eastAsia="黑体"/>
          <w:sz w:val="32"/>
          <w:szCs w:val="32"/>
        </w:rPr>
      </w:pPr>
      <w:bookmarkStart w:id="0" w:name="缓急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内蒙古自治区人民政府关于《二连浩特市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国土空间总体规划（2021—2035年）》的批复</w:t>
      </w:r>
    </w:p>
    <w:p>
      <w:pPr>
        <w:pStyle w:val="2"/>
        <w:rPr>
          <w:rFonts w:hint="eastAsia"/>
        </w:rPr>
      </w:pPr>
    </w:p>
    <w:p>
      <w:pPr>
        <w:pStyle w:val="2"/>
        <w:jc w:val="center"/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eastAsia="仿宋_GB2312"/>
          <w:sz w:val="32"/>
          <w:szCs w:val="32"/>
        </w:rPr>
      </w:pPr>
      <w:bookmarkStart w:id="1" w:name="_GoBack"/>
      <w:r>
        <w:rPr>
          <w:rFonts w:hint="eastAsia" w:ascii="仿宋_GB2312" w:eastAsia="仿宋_GB2312"/>
          <w:sz w:val="32"/>
          <w:szCs w:val="32"/>
        </w:rPr>
        <w:t>二连浩特市人民政府：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你市《关于报请审查批准〈二连浩特市国土空间总体规划（2021—2035年）〉的请示》（二政发〔2023〕80号）收悉。现批复如下：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一、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原则同意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  <w:shd w:val="clear" w:color="auto" w:fill="FFFFFF"/>
          <w:lang w:eastAsia="zh-CN"/>
        </w:rPr>
        <w:t>自治区有关部门联合审查通过的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《二连浩特市国土空间总体规划（2021—2035年）》（以下简称《规划》）。《规划》是二连浩特市空间发展的指南、可持续发展的空间蓝图，是各类开发保护建设活动的基本依据，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  <w:lang w:eastAsia="zh-CN"/>
        </w:rPr>
        <w:t>要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认真组织实施。《规划》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实施要坚持以习近平新时代中国特色社会主义思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想为指导，</w:t>
      </w: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  <w:t>全面贯彻落实党的二十大精神，深入贯彻习近平总书记对内蒙古的重要指示精神，认真落实自治区党委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  <w:lang w:eastAsia="zh-CN"/>
        </w:rPr>
        <w:t>和</w:t>
      </w: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  <w:t>政府各项决策部署，完整、准确、全面贯彻新发展理念，坚持以人民为中心，统筹发展和安全，促进人与自然和谐共生，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  <w:lang w:eastAsia="zh-CN"/>
        </w:rPr>
        <w:t>牢牢把握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  <w:t>铸牢中华民族共同体意识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  <w:lang w:eastAsia="zh-CN"/>
        </w:rPr>
        <w:t>工作主线</w:t>
      </w: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将二连浩特市建设成为通达俄蒙的国际化、现代化口岸城市。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二、筑牢安全发展的空间基础。到2035年，二连浩特市耕地保有量不低于0.1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191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万亩；生态保护红线面积不低于0.1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061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万平方千米；城镇开发边界扩展倍数控制在基于2020年城镇建设用地规模的1.3472倍以内；用水总量不超过锡林郭勒盟下达指标；基本草原面积不低于400.00万亩。明确自然灾害风险重点防控区域，划定洪涝等风险控制线，落实战略性矿产资源、历史文化保护等安全保障空间，全面锚固高质量发展的空间底线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三、构建支撑新发展格局的国土空间体系。深入实施区域协调发展战略、区域重大战略、主体功能区战略、新型城镇化战略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、乡村振兴战略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，促进形成主体功能明显、优势互补、高质量发展的国土空间开发保护新格局。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推动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东北全面振兴，深度融入共建“一带一路”和中蒙俄经济走廊建设，加快建设以二连浩特口岸为节点，以中蒙俄中线铁路为支撑，内连天津港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京津冀，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外接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俄蒙至欧洲的我国向北开放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中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通道，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强化口岸和腹地联动发展，坚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持以生态优先、绿色发展为导向，服务构建新发展格局。锚定“闯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新路、进中游”目标，对照“七个作模范”要求，为完成好习近平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总书记交给内蒙古的五大任务和全方位建设“模范自治区”两件大事做出二连浩特贡献。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四、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系统优化国土空间开发保护格局。发挥区域比较优势，落实主体功能定位。优化农牧业生产结构，促进农牧业合理布局，加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快发展以草畜一体化为重点的现代畜牧业，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严格保护耕地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保障粮食和重要农畜产品安全供给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。积极推进防沙治沙和草原生态修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shd w:val="clear" w:color="auto" w:fill="FFFFFF"/>
        </w:rPr>
        <w:t>复治理，</w:t>
      </w:r>
      <w:r>
        <w:rPr>
          <w:rFonts w:ascii="Times New Roman" w:hAnsi="Times New Roman" w:eastAsia="仿宋_GB2312" w:cs="Times New Roman"/>
          <w:spacing w:val="-11"/>
          <w:sz w:val="32"/>
          <w:szCs w:val="32"/>
          <w:shd w:val="clear" w:color="auto" w:fill="FFFFFF"/>
        </w:rPr>
        <w:t>实施生态保护修复重大工程，</w:t>
      </w:r>
      <w:r>
        <w:rPr>
          <w:rFonts w:hint="eastAsia" w:ascii="仿宋_GB2312" w:hAnsi="Times New Roman" w:eastAsia="仿宋_GB2312" w:cs="Times New Roman"/>
          <w:spacing w:val="-11"/>
          <w:sz w:val="32"/>
          <w:szCs w:val="32"/>
          <w:shd w:val="clear" w:color="auto" w:fill="FFFFFF"/>
          <w:lang w:eastAsia="zh-CN"/>
        </w:rPr>
        <w:t>全面提升</w:t>
      </w:r>
      <w:r>
        <w:rPr>
          <w:rFonts w:ascii="Times New Roman" w:hAnsi="Times New Roman" w:eastAsia="仿宋_GB2312"/>
          <w:spacing w:val="-11"/>
          <w:kern w:val="0"/>
          <w:sz w:val="32"/>
          <w:szCs w:val="32"/>
          <w:shd w:val="clear" w:color="auto" w:fill="FFFFFF"/>
        </w:rPr>
        <w:t>生态环境稳定性</w:t>
      </w:r>
      <w:r>
        <w:rPr>
          <w:rFonts w:hint="eastAsia" w:ascii="Times New Roman" w:hAnsi="Times New Roman" w:eastAsia="仿宋_GB2312"/>
          <w:spacing w:val="-11"/>
          <w:kern w:val="0"/>
          <w:sz w:val="32"/>
          <w:szCs w:val="32"/>
          <w:shd w:val="clear" w:color="auto" w:fill="FFFFFF"/>
          <w:lang w:eastAsia="zh-CN"/>
        </w:rPr>
        <w:t>，增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强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生态系统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服务功能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。发挥二连浩特市边境口岸区位优势，优化产业空间布局，加强乌兰察布—二连浩特国家物流枢纽园区一体化发展，引导开发区功能复合和节约集约用地，以国家重点开发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开放实验区和国家物流枢纽为平台，聚焦国际贸易和国际物流，为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进出口加工、边境特色旅游和清洁能源产业提供空间保障。加快二连浩特口岸及城镇建设，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完善公共服务设施体系，促进城镇空间高质量发展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，提升边境地区经济社会发展水平和守边固边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能力。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强化文化遗产与自然遗产整体保护和系统活化利用，健全文化遗产与自然遗产空间保护机制，构建文化资源、自然资源、景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观资源整体保护的空间体系，把生态效益更好转化为社会效益、经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济效益，建设独具特色的边境旅游名城。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五、维护规划严肃性权威性。《规划》是对二连浩特市国土空间作出的全局安排，是市域国土空间保护、开发、利用、修复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的政策和总纲，必须严格执行，任何部门和个人不得随意修改、违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规变更。按照定期体检和五年一评估的要求，健全各类国土空间规划实施监测评估预警机制，将规划评估结果作为规划实施监督考核的重要依据。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在符合“三区三线”管控要求的前提下，严格管理《规划》重点项目。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建立健全规划监督、执法、问责联动机制，实施规划全生命周期管理。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六、做好规划实施保障。二连浩特市人民政府要加强组织领导，明确责任分工，健全工作机制，完善配套政策措施。做好《规划》印发和公开，强化社会监督。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</w:rPr>
        <w:t>组织完成详细规划、相关专项</w:t>
      </w:r>
      <w:r>
        <w:rPr>
          <w:rFonts w:hint="eastAsia" w:ascii="Times New Roman" w:hAnsi="Times New Roman" w:eastAsia="仿宋_GB2312" w:cs="Times New Roman"/>
          <w:b w:val="0"/>
          <w:bCs w:val="0"/>
          <w:spacing w:val="-11"/>
          <w:sz w:val="32"/>
          <w:szCs w:val="32"/>
          <w:shd w:val="clear" w:color="auto" w:fill="FFFFFF"/>
        </w:rPr>
        <w:t>规划编制工作，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shd w:val="clear" w:color="auto" w:fill="FFFFFF"/>
        </w:rPr>
        <w:t>加快形成统一的国土空间规划体系。强化对水利、交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通、能源、农业、信息、市政等基础设施以及公共服务设施、军事设施、生态环境保护、文物保护、林业草原等专项规划的指导约束，在国土空间规划“一张图”上协调解决矛盾问题，合理优化空间布局。建立健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</w:rPr>
        <w:t>市国土空间规划委员会制度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，发挥对国土空间规划编制实施管理的统筹协调作用。按照“统一底图、统一标准、统一规划、统一平台”的要求，完善国土空间规划“一张图”系统和国土空间基础信息平台，建设国土空间规划实施监测网络，提高空间治理数字化水平。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自治区有关部门要根据职责分工，密切协调配合，共同做好指导、监督和评估工作，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坚决贯彻党中央、国务院关于“多规合一”改革的决策部署，不在国土空间规划体系之外另设其他空间规划。《规划》实施中的重大事项要及时请示报告。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 xml:space="preserve">                            2024年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日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（此件公开发布）</w:t>
      </w:r>
    </w:p>
    <w:bookmarkEnd w:id="1"/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19" w:leftChars="133" w:right="210" w:rightChars="100" w:hanging="840" w:hangingChars="300"/>
        <w:jc w:val="left"/>
        <w:textAlignment w:val="auto"/>
        <w:rPr>
          <w:rFonts w:hint="eastAsia" w:ascii="仿宋_GB2312" w:hAnsi="宋体" w:eastAsia="仿宋_GB2312" w:cs="Arial"/>
          <w:kern w:val="0"/>
          <w:sz w:val="28"/>
        </w:rPr>
      </w:pPr>
      <w:r>
        <w:rPr>
          <w:rFonts w:hint="eastAsia" w:ascii="仿宋_GB2312" w:eastAsia="仿宋_GB2312"/>
          <w:sz w:val="28"/>
          <w:szCs w:val="28"/>
        </w:rPr>
        <w:t>抄送：</w:t>
      </w:r>
      <w:r>
        <w:rPr>
          <w:rFonts w:hint="eastAsia" w:ascii="仿宋_GB2312" w:hAnsi="宋体" w:eastAsia="仿宋_GB2312" w:cs="Arial"/>
          <w:spacing w:val="-6"/>
          <w:kern w:val="0"/>
          <w:sz w:val="28"/>
        </w:rPr>
        <w:t>各盟行政公署、市人民政府，自治区各委、办、</w:t>
      </w:r>
      <w:r>
        <w:rPr>
          <w:rFonts w:hint="eastAsia" w:ascii="仿宋_GB2312" w:hAnsi="宋体" w:eastAsia="仿宋_GB2312" w:cs="Arial"/>
          <w:kern w:val="0"/>
          <w:sz w:val="28"/>
        </w:rPr>
        <w:t>厅、局，各大企业、事业单位。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10" w:rightChars="100" w:firstLine="1120" w:firstLineChars="400"/>
        <w:jc w:val="left"/>
        <w:textAlignment w:val="auto"/>
        <w:rPr>
          <w:rFonts w:hint="eastAsia" w:ascii="仿宋_GB2312" w:hAnsi="宋体" w:eastAsia="仿宋_GB2312" w:cs="Arial"/>
          <w:kern w:val="0"/>
          <w:sz w:val="28"/>
        </w:rPr>
      </w:pPr>
      <w:r>
        <w:rPr>
          <w:rFonts w:hint="eastAsia" w:ascii="仿宋_GB2312" w:hAnsi="宋体" w:eastAsia="仿宋_GB2312" w:cs="Arial"/>
          <w:kern w:val="0"/>
          <w:sz w:val="28"/>
        </w:rPr>
        <w:t>自治区党委各部门，内蒙古军区，武警内蒙古总队。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17" w:leftChars="532" w:right="210" w:rightChars="10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_GB2312" w:hAnsi="宋体" w:eastAsia="仿宋_GB2312" w:cs="Arial"/>
          <w:spacing w:val="6"/>
          <w:kern w:val="0"/>
          <w:sz w:val="28"/>
        </w:rPr>
        <w:t>自治区人大常委会办公厅、政协办公厅，自治区监委，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自治区高级人民法院，检察院。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3670236"/>
    <w:rsid w:val="0DDF1C3B"/>
    <w:rsid w:val="0E700230"/>
    <w:rsid w:val="12417C5F"/>
    <w:rsid w:val="15D51575"/>
    <w:rsid w:val="1BF4474B"/>
    <w:rsid w:val="1EAEB798"/>
    <w:rsid w:val="20CE0720"/>
    <w:rsid w:val="217D23BA"/>
    <w:rsid w:val="2558587E"/>
    <w:rsid w:val="27355263"/>
    <w:rsid w:val="27E04077"/>
    <w:rsid w:val="29255FCE"/>
    <w:rsid w:val="2C6308CF"/>
    <w:rsid w:val="319648EE"/>
    <w:rsid w:val="36193767"/>
    <w:rsid w:val="3E8003A9"/>
    <w:rsid w:val="43CE25A7"/>
    <w:rsid w:val="4C9161F5"/>
    <w:rsid w:val="4EBFA3D8"/>
    <w:rsid w:val="4FD33F1F"/>
    <w:rsid w:val="5A9726CA"/>
    <w:rsid w:val="5FC47C57"/>
    <w:rsid w:val="604307FB"/>
    <w:rsid w:val="612A5090"/>
    <w:rsid w:val="66A7152B"/>
    <w:rsid w:val="67C742AE"/>
    <w:rsid w:val="68C13D1E"/>
    <w:rsid w:val="69AA7AA3"/>
    <w:rsid w:val="6ADE316A"/>
    <w:rsid w:val="71B83154"/>
    <w:rsid w:val="72132858"/>
    <w:rsid w:val="74FA2C6F"/>
    <w:rsid w:val="74FC37E5"/>
    <w:rsid w:val="76167F2F"/>
    <w:rsid w:val="76240541"/>
    <w:rsid w:val="76E74A56"/>
    <w:rsid w:val="7A287E23"/>
    <w:rsid w:val="7C7734A3"/>
    <w:rsid w:val="7D126C78"/>
    <w:rsid w:val="7D1850A2"/>
    <w:rsid w:val="C77DBE25"/>
    <w:rsid w:val="E3CBCA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uppressAutoHyphens/>
      <w:bidi w:val="0"/>
    </w:pPr>
    <w:rPr>
      <w:rFonts w:ascii="Calibri" w:hAnsi="Calibri" w:eastAsia="宋体" w:cs="Times New Roman"/>
      <w:color w:val="auto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页脚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3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哈斯高娃:返回拟稿人</cp:lastModifiedBy>
  <dcterms:modified xsi:type="dcterms:W3CDTF">2024-04-03T06:58:49Z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