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autoSpaceDE w:val="0"/>
        <w:autoSpaceDN w:val="0"/>
        <w:adjustRightInd w:val="0"/>
        <w:snapToGrid w:val="0"/>
        <w:textAlignment w:val="baseline"/>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应急响应职责清单</w:t>
      </w:r>
    </w:p>
    <w:p>
      <w:pPr>
        <w:autoSpaceDE w:val="0"/>
        <w:autoSpaceDN w:val="0"/>
        <w:adjustRightInd w:val="0"/>
        <w:snapToGrid w:val="0"/>
        <w:textAlignment w:val="baseline"/>
        <w:rPr>
          <w:rFonts w:hint="eastAsia" w:ascii="方正仿宋_GBK" w:hAnsi="方正仿宋_GBK" w:eastAsia="方正仿宋_GBK" w:cs="方正仿宋_GBK"/>
          <w:b w:val="0"/>
          <w:bCs w:val="0"/>
        </w:rPr>
      </w:pPr>
    </w:p>
    <w:tbl>
      <w:tblPr>
        <w:tblStyle w:val="2"/>
        <w:tblW w:w="8898"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2359"/>
        <w:gridCol w:w="5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760" w:type="dxa"/>
            <w:tcBorders>
              <w:top w:val="single" w:color="000000" w:sz="8" w:space="0"/>
              <w:left w:val="single" w:color="000000" w:sz="8" w:space="0"/>
            </w:tcBorders>
            <w:noWrap w:val="0"/>
            <w:vAlign w:val="center"/>
          </w:tcPr>
          <w:p>
            <w:pPr>
              <w:autoSpaceDE w:val="0"/>
              <w:autoSpaceDN w:val="0"/>
              <w:adjustRightInd w:val="0"/>
              <w:snapToGrid w:val="0"/>
              <w:jc w:val="center"/>
              <w:textAlignment w:val="baseline"/>
              <w:rPr>
                <w:rFonts w:hint="eastAsia" w:ascii="方正黑体_GBK" w:hAnsi="方正黑体_GBK" w:eastAsia="方正黑体_GBK" w:cs="方正黑体_GBK"/>
                <w:b w:val="0"/>
                <w:bCs w:val="0"/>
                <w:kern w:val="0"/>
                <w:sz w:val="28"/>
                <w:szCs w:val="28"/>
              </w:rPr>
            </w:pPr>
            <w:r>
              <w:rPr>
                <w:rFonts w:hint="eastAsia" w:ascii="方正黑体_GBK" w:hAnsi="方正黑体_GBK" w:eastAsia="黑体" w:cs="方正黑体_GBK"/>
                <w:b w:val="0"/>
                <w:bCs w:val="0"/>
                <w:kern w:val="0"/>
                <w:sz w:val="28"/>
                <w:szCs w:val="28"/>
              </w:rPr>
              <w:t>序号</w:t>
            </w:r>
          </w:p>
        </w:tc>
        <w:tc>
          <w:tcPr>
            <w:tcW w:w="2359" w:type="dxa"/>
            <w:tcBorders>
              <w:top w:val="single" w:color="000000" w:sz="8" w:space="0"/>
            </w:tcBorders>
            <w:noWrap w:val="0"/>
            <w:vAlign w:val="center"/>
          </w:tcPr>
          <w:p>
            <w:pPr>
              <w:autoSpaceDE w:val="0"/>
              <w:autoSpaceDN w:val="0"/>
              <w:adjustRightInd w:val="0"/>
              <w:snapToGrid w:val="0"/>
              <w:jc w:val="center"/>
              <w:textAlignment w:val="baseline"/>
              <w:rPr>
                <w:rFonts w:hint="eastAsia" w:ascii="方正黑体_GBK" w:hAnsi="方正黑体_GBK" w:eastAsia="方正黑体_GBK" w:cs="方正黑体_GBK"/>
                <w:b w:val="0"/>
                <w:bCs w:val="0"/>
                <w:kern w:val="0"/>
                <w:sz w:val="28"/>
                <w:szCs w:val="28"/>
              </w:rPr>
            </w:pPr>
            <w:r>
              <w:rPr>
                <w:rFonts w:hint="eastAsia" w:ascii="方正黑体_GBK" w:hAnsi="方正黑体_GBK" w:eastAsia="黑体" w:cs="方正黑体_GBK"/>
                <w:b w:val="0"/>
                <w:bCs w:val="0"/>
                <w:kern w:val="0"/>
                <w:sz w:val="28"/>
                <w:szCs w:val="28"/>
              </w:rPr>
              <w:t>责任主体</w:t>
            </w:r>
          </w:p>
        </w:tc>
        <w:tc>
          <w:tcPr>
            <w:tcW w:w="5779" w:type="dxa"/>
            <w:tcBorders>
              <w:top w:val="single" w:color="000000" w:sz="8" w:space="0"/>
              <w:right w:val="single" w:color="000000" w:sz="8" w:space="0"/>
            </w:tcBorders>
            <w:noWrap w:val="0"/>
            <w:vAlign w:val="center"/>
          </w:tcPr>
          <w:p>
            <w:pPr>
              <w:autoSpaceDE w:val="0"/>
              <w:autoSpaceDN w:val="0"/>
              <w:adjustRightInd w:val="0"/>
              <w:snapToGrid w:val="0"/>
              <w:jc w:val="center"/>
              <w:textAlignment w:val="baseline"/>
              <w:rPr>
                <w:rFonts w:hint="eastAsia" w:ascii="方正黑体_GBK" w:hAnsi="方正黑体_GBK" w:eastAsia="方正黑体_GBK" w:cs="方正黑体_GBK"/>
                <w:b w:val="0"/>
                <w:bCs w:val="0"/>
                <w:kern w:val="0"/>
                <w:sz w:val="28"/>
                <w:szCs w:val="28"/>
              </w:rPr>
            </w:pPr>
            <w:r>
              <w:rPr>
                <w:rFonts w:hint="eastAsia" w:ascii="方正黑体_GBK" w:hAnsi="方正黑体_GBK" w:eastAsia="黑体" w:cs="方正黑体_GBK"/>
                <w:b w:val="0"/>
                <w:bCs w:val="0"/>
                <w:kern w:val="0"/>
                <w:sz w:val="28"/>
                <w:szCs w:val="28"/>
              </w:rPr>
              <w:t>职</w:t>
            </w:r>
            <w:r>
              <w:rPr>
                <w:rFonts w:hint="eastAsia" w:ascii="方正黑体_GBK" w:hAnsi="方正黑体_GBK" w:eastAsia="黑体" w:cs="方正黑体_GBK"/>
                <w:b w:val="0"/>
                <w:bCs w:val="0"/>
                <w:kern w:val="0"/>
                <w:sz w:val="28"/>
                <w:szCs w:val="28"/>
                <w:lang w:val="en-US" w:eastAsia="zh-CN"/>
              </w:rPr>
              <w:t xml:space="preserve">    </w:t>
            </w:r>
            <w:r>
              <w:rPr>
                <w:rFonts w:hint="eastAsia" w:ascii="方正黑体_GBK" w:hAnsi="方正黑体_GBK" w:eastAsia="黑体" w:cs="方正黑体_GBK"/>
                <w:b w:val="0"/>
                <w:bCs w:val="0"/>
                <w:kern w:val="0"/>
                <w:sz w:val="28"/>
                <w:szCs w:val="28"/>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4" w:hRule="atLeast"/>
        </w:trPr>
        <w:tc>
          <w:tcPr>
            <w:tcW w:w="760" w:type="dxa"/>
            <w:tcBorders>
              <w:lef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w:t>
            </w:r>
          </w:p>
        </w:tc>
        <w:tc>
          <w:tcPr>
            <w:tcW w:w="2359" w:type="dxa"/>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自治区重污染</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天气应急指挥部</w:t>
            </w:r>
          </w:p>
        </w:tc>
        <w:tc>
          <w:tcPr>
            <w:tcW w:w="5779" w:type="dxa"/>
            <w:tcBorders>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负责统一领导、指挥全区重污染天气应急处置工作；协调解决重污染天气应对重大问题。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6" w:hRule="atLeast"/>
        </w:trPr>
        <w:tc>
          <w:tcPr>
            <w:tcW w:w="760" w:type="dxa"/>
            <w:tcBorders>
              <w:lef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2</w:t>
            </w:r>
          </w:p>
        </w:tc>
        <w:tc>
          <w:tcPr>
            <w:tcW w:w="2359" w:type="dxa"/>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自治区重污染</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天气应急指挥部</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办公室</w:t>
            </w:r>
          </w:p>
        </w:tc>
        <w:tc>
          <w:tcPr>
            <w:tcW w:w="5779" w:type="dxa"/>
            <w:tcBorders>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负责贯彻落实自治区重污染天气应急指挥部的指令和部署；督导各成员单位落实重污染天气应对职责，督促盟市落实应急减排措施组织和协调区域重污染天气应急联动工作；组织对重污染天气应对工作进行总结评估及信息上报；组织开展重污染天气应急演练；承担</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2" w:hRule="atLeast"/>
        </w:trPr>
        <w:tc>
          <w:tcPr>
            <w:tcW w:w="760" w:type="dxa"/>
            <w:tcBorders>
              <w:lef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3</w:t>
            </w:r>
          </w:p>
        </w:tc>
        <w:tc>
          <w:tcPr>
            <w:tcW w:w="2359" w:type="dxa"/>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自治区党委</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宣传部</w:t>
            </w:r>
          </w:p>
        </w:tc>
        <w:tc>
          <w:tcPr>
            <w:tcW w:w="5779" w:type="dxa"/>
            <w:tcBorders>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负责组织全区重污染天气应对的宣传报道工作；会同自治区</w:t>
            </w:r>
            <w:r>
              <w:rPr>
                <w:rFonts w:hint="eastAsia" w:ascii="仿宋" w:hAnsi="仿宋" w:eastAsia="仿宋" w:cs="仿宋"/>
                <w:b w:val="0"/>
                <w:bCs w:val="0"/>
                <w:kern w:val="0"/>
                <w:sz w:val="28"/>
                <w:szCs w:val="28"/>
                <w:lang w:eastAsia="zh-CN"/>
              </w:rPr>
              <w:t>党委</w:t>
            </w:r>
            <w:r>
              <w:rPr>
                <w:rFonts w:hint="eastAsia" w:ascii="仿宋" w:hAnsi="仿宋" w:eastAsia="仿宋" w:cs="仿宋"/>
                <w:b w:val="0"/>
                <w:bCs w:val="0"/>
                <w:kern w:val="0"/>
                <w:sz w:val="28"/>
                <w:szCs w:val="28"/>
              </w:rPr>
              <w:t>网信办协调做好重污染天气应对期间舆情管理；完成</w:t>
            </w:r>
            <w:r>
              <w:rPr>
                <w:rFonts w:hint="eastAsia" w:ascii="仿宋" w:hAnsi="仿宋" w:eastAsia="仿宋" w:cs="仿宋"/>
                <w:b w:val="0"/>
                <w:bCs w:val="0"/>
                <w:color w:val="auto"/>
                <w:kern w:val="0"/>
                <w:sz w:val="28"/>
                <w:szCs w:val="28"/>
                <w:lang w:eastAsia="zh-CN"/>
              </w:rPr>
              <w:t>自治区</w:t>
            </w:r>
            <w:r>
              <w:rPr>
                <w:rFonts w:hint="eastAsia" w:ascii="仿宋" w:hAnsi="仿宋" w:eastAsia="仿宋" w:cs="仿宋"/>
                <w:b w:val="0"/>
                <w:bCs w:val="0"/>
                <w:color w:val="auto"/>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3" w:hRule="atLeast"/>
        </w:trPr>
        <w:tc>
          <w:tcPr>
            <w:tcW w:w="760" w:type="dxa"/>
            <w:tcBorders>
              <w:lef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4</w:t>
            </w:r>
          </w:p>
        </w:tc>
        <w:tc>
          <w:tcPr>
            <w:tcW w:w="2359" w:type="dxa"/>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生态环境厅</w:t>
            </w:r>
          </w:p>
        </w:tc>
        <w:tc>
          <w:tcPr>
            <w:tcW w:w="5779" w:type="dxa"/>
            <w:tcBorders>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联合内蒙古气象局开展重污染天气研判、会商，提出预警建议开展重污染天气应急响应督导检查；会同住房城乡建设、交通运输、农牧、能源等主管部门加强对非道路移动机械的监管；配合做好燃煤污染等防治工作；督促各盟市做好秸秆焚烧防治工作；督促各盟市加强矿山环境污染防治；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5" w:hRule="atLeast"/>
        </w:trPr>
        <w:tc>
          <w:tcPr>
            <w:tcW w:w="760" w:type="dxa"/>
            <w:tcBorders>
              <w:left w:val="single" w:color="000000" w:sz="8"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5</w:t>
            </w:r>
          </w:p>
        </w:tc>
        <w:tc>
          <w:tcPr>
            <w:tcW w:w="2359" w:type="dxa"/>
            <w:tcBorders>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发展改革委</w:t>
            </w:r>
          </w:p>
        </w:tc>
        <w:tc>
          <w:tcPr>
            <w:tcW w:w="5779" w:type="dxa"/>
            <w:tcBorders>
              <w:bottom w:val="single" w:color="000000" w:sz="8"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3" w:hRule="atLeast"/>
        </w:trPr>
        <w:tc>
          <w:tcPr>
            <w:tcW w:w="760" w:type="dxa"/>
            <w:tcBorders>
              <w:top w:val="single" w:color="000000" w:sz="8"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序号</w:t>
            </w:r>
          </w:p>
        </w:tc>
        <w:tc>
          <w:tcPr>
            <w:tcW w:w="2359" w:type="dxa"/>
            <w:tcBorders>
              <w:top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责任主体</w:t>
            </w:r>
          </w:p>
        </w:tc>
        <w:tc>
          <w:tcPr>
            <w:tcW w:w="5779" w:type="dxa"/>
            <w:tcBorders>
              <w:top w:val="single" w:color="000000" w:sz="8" w:space="0"/>
              <w:bottom w:val="single" w:color="000000" w:sz="4" w:space="0"/>
              <w:righ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职</w:t>
            </w:r>
            <w:r>
              <w:rPr>
                <w:rFonts w:hint="eastAsia" w:ascii="方正黑体_GBK" w:hAnsi="方正黑体_GBK" w:eastAsia="黑体" w:cs="方正黑体_GBK"/>
                <w:b w:val="0"/>
                <w:bCs w:val="0"/>
                <w:kern w:val="0"/>
                <w:sz w:val="28"/>
                <w:szCs w:val="28"/>
                <w:lang w:val="en-US" w:eastAsia="zh-CN"/>
              </w:rPr>
              <w:t xml:space="preserve">    </w:t>
            </w:r>
            <w:r>
              <w:rPr>
                <w:rFonts w:hint="eastAsia" w:ascii="方正黑体_GBK" w:hAnsi="方正黑体_GBK" w:eastAsia="黑体" w:cs="方正黑体_GBK"/>
                <w:b w:val="0"/>
                <w:bCs w:val="0"/>
                <w:kern w:val="0"/>
                <w:sz w:val="28"/>
                <w:szCs w:val="28"/>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95"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6</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自治区教育厅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编制本部门应急响应专项实施方案；督促各盟市教育部门制定重污染天气中小学校和幼儿园减少户外活动及停课实施方案，并督导事发地落实；完成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73"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7</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自治区工业和</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信息化厅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编制本部门应急响应专项实施方案；负责落实重点行业企业错峰生产工作；配合做好非道路移动机械排放污染防治的监督管理工作；配合做好督导企业在重污染天气预警期间实行大宗物料错峰运输工作；完成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8"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8</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自治区公安厅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指导和监督各盟市制定高排放车辆临时禁（限）行方案，督查各地禁（限）行执行情况；研究重污染天气预警期间机动车限行方案；负责指导和监督各盟市制定烟花爆竹禁（限）放措施，并组织加强巡查；配合做好督导企业在重污染天气预警期间实行大宗物料错峰运输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4"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9</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自治区财政厅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根据事权与支出责任划分原则，为开展重污染天气应急工作做好经费保障；完成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40" w:hRule="atLeast"/>
        </w:trPr>
        <w:tc>
          <w:tcPr>
            <w:tcW w:w="760" w:type="dxa"/>
            <w:tcBorders>
              <w:top w:val="single" w:color="000000" w:sz="4" w:space="0"/>
              <w:left w:val="single" w:color="000000" w:sz="8"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10</w:t>
            </w:r>
          </w:p>
        </w:tc>
        <w:tc>
          <w:tcPr>
            <w:tcW w:w="2359" w:type="dxa"/>
            <w:tcBorders>
              <w:top w:val="single" w:color="000000" w:sz="4"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自然资源厅</w:t>
            </w:r>
          </w:p>
        </w:tc>
        <w:tc>
          <w:tcPr>
            <w:tcW w:w="5779" w:type="dxa"/>
            <w:tcBorders>
              <w:top w:val="single" w:color="000000" w:sz="4" w:space="0"/>
              <w:bottom w:val="single" w:color="000000" w:sz="8"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编制本部门应急响应专项实施方案；负责国土空间综合整治、土地整理复垦、矿山地质环境恢复治理；督促各盟市加强矿山环境污染防治；完成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760" w:type="dxa"/>
            <w:tcBorders>
              <w:top w:val="single" w:color="000000" w:sz="8"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序号</w:t>
            </w:r>
          </w:p>
        </w:tc>
        <w:tc>
          <w:tcPr>
            <w:tcW w:w="2359" w:type="dxa"/>
            <w:tcBorders>
              <w:top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责任主体</w:t>
            </w:r>
          </w:p>
        </w:tc>
        <w:tc>
          <w:tcPr>
            <w:tcW w:w="5779" w:type="dxa"/>
            <w:tcBorders>
              <w:top w:val="single" w:color="000000" w:sz="8" w:space="0"/>
              <w:bottom w:val="single" w:color="000000" w:sz="4" w:space="0"/>
              <w:righ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职</w:t>
            </w:r>
            <w:r>
              <w:rPr>
                <w:rFonts w:hint="eastAsia" w:ascii="方正黑体_GBK" w:hAnsi="方正黑体_GBK" w:eastAsia="黑体" w:cs="方正黑体_GBK"/>
                <w:b w:val="0"/>
                <w:bCs w:val="0"/>
                <w:kern w:val="0"/>
                <w:sz w:val="28"/>
                <w:szCs w:val="28"/>
                <w:lang w:val="en-US" w:eastAsia="zh-CN"/>
              </w:rPr>
              <w:t xml:space="preserve">    </w:t>
            </w:r>
            <w:r>
              <w:rPr>
                <w:rFonts w:hint="eastAsia" w:ascii="方正黑体_GBK" w:hAnsi="方正黑体_GBK" w:eastAsia="黑体" w:cs="方正黑体_GBK"/>
                <w:b w:val="0"/>
                <w:bCs w:val="0"/>
                <w:kern w:val="0"/>
                <w:sz w:val="28"/>
                <w:szCs w:val="28"/>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01"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11</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自治区住房城乡</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建设厅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编制本部门应急响应专项实施方案；负责监督和指导建筑施工工地、城市道路扬尘控制和施工工地工程机械管控；负责指导和督促盟市落实居民取暖散煤治理工作；完成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0"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12</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交通运输厅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spacing w:val="-6"/>
                <w:kern w:val="0"/>
                <w:sz w:val="28"/>
                <w:szCs w:val="28"/>
              </w:rPr>
              <w:t>编制本部门应急响应专项实施方案；负责指导和督促各盟市加大公共交通保障力度；负责做好自治区干线公路、高速公路施工等扬尘防控工作；配合做好非道路移动机械排放污染防治的监督管理工作；负责加大重污染天气应对期间“公转铁”运力调度调配</w:t>
            </w:r>
            <w:r>
              <w:rPr>
                <w:rFonts w:hint="eastAsia" w:ascii="仿宋" w:hAnsi="仿宋" w:eastAsia="仿宋" w:cs="仿宋"/>
                <w:b w:val="0"/>
                <w:bCs w:val="0"/>
                <w:spacing w:val="-6"/>
                <w:kern w:val="0"/>
                <w:sz w:val="28"/>
                <w:szCs w:val="28"/>
                <w:lang w:eastAsia="zh-CN"/>
              </w:rPr>
              <w:t>力度</w:t>
            </w:r>
            <w:r>
              <w:rPr>
                <w:rFonts w:hint="eastAsia" w:ascii="仿宋" w:hAnsi="仿宋" w:eastAsia="仿宋" w:cs="仿宋"/>
                <w:b w:val="0"/>
                <w:bCs w:val="0"/>
                <w:spacing w:val="-6"/>
                <w:kern w:val="0"/>
                <w:sz w:val="28"/>
                <w:szCs w:val="28"/>
              </w:rPr>
              <w:t>；负责督导企业在重污染天气预警期间实行大宗物料错峰运输；完成</w:t>
            </w:r>
            <w:r>
              <w:rPr>
                <w:rFonts w:hint="eastAsia" w:ascii="仿宋" w:hAnsi="仿宋" w:eastAsia="仿宋" w:cs="仿宋"/>
                <w:b w:val="0"/>
                <w:bCs w:val="0"/>
                <w:spacing w:val="-6"/>
                <w:kern w:val="0"/>
                <w:sz w:val="28"/>
                <w:szCs w:val="28"/>
                <w:lang w:eastAsia="zh-CN"/>
              </w:rPr>
              <w:t>自治区</w:t>
            </w:r>
            <w:r>
              <w:rPr>
                <w:rFonts w:hint="eastAsia" w:ascii="仿宋" w:hAnsi="仿宋" w:eastAsia="仿宋" w:cs="仿宋"/>
                <w:b w:val="0"/>
                <w:bCs w:val="0"/>
                <w:spacing w:val="-6"/>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7"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13</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自治区水利厅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编制本部门应急响应专项实施方案；负责水利工程施工扬尘防治；负责河道、河床、滩涂等裸露地表扬尘防控；完成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2"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14</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highlight w:val="red"/>
              </w:rPr>
            </w:pPr>
            <w:r>
              <w:rPr>
                <w:rFonts w:hint="eastAsia" w:ascii="仿宋" w:hAnsi="仿宋" w:eastAsia="仿宋" w:cs="仿宋"/>
                <w:b w:val="0"/>
                <w:bCs w:val="0"/>
                <w:kern w:val="0"/>
                <w:sz w:val="28"/>
                <w:szCs w:val="28"/>
              </w:rPr>
              <w:t>自治区农牧厅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编制本部门应急响应专项实施方案；指导各地</w:t>
            </w:r>
            <w:r>
              <w:rPr>
                <w:rFonts w:hint="eastAsia" w:ascii="仿宋" w:hAnsi="仿宋" w:eastAsia="仿宋" w:cs="仿宋"/>
                <w:b w:val="0"/>
                <w:bCs w:val="0"/>
                <w:kern w:val="0"/>
                <w:sz w:val="28"/>
                <w:szCs w:val="28"/>
                <w:lang w:eastAsia="zh-CN"/>
              </w:rPr>
              <w:t>区</w:t>
            </w:r>
            <w:r>
              <w:rPr>
                <w:rFonts w:hint="eastAsia" w:ascii="仿宋" w:hAnsi="仿宋" w:eastAsia="仿宋" w:cs="仿宋"/>
                <w:b w:val="0"/>
                <w:bCs w:val="0"/>
                <w:kern w:val="0"/>
                <w:sz w:val="28"/>
                <w:szCs w:val="28"/>
              </w:rPr>
              <w:t>开展秸秆综合利用工作；配合做好非道路移动机械排放污染防治的监督管理工作；完成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3"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15</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卫生健康委</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编制本部门应急响应专项实施方案；负责督导医疗机构依据救治需求紧急增派医护人员充实相关疾病门诊、急诊力量；组织医疗机构有针对性</w:t>
            </w:r>
            <w:r>
              <w:rPr>
                <w:rFonts w:hint="eastAsia" w:ascii="仿宋" w:hAnsi="仿宋" w:eastAsia="仿宋" w:cs="仿宋"/>
                <w:b w:val="0"/>
                <w:bCs w:val="0"/>
                <w:kern w:val="0"/>
                <w:sz w:val="28"/>
                <w:szCs w:val="28"/>
                <w:lang w:eastAsia="zh-CN"/>
              </w:rPr>
              <w:t>地</w:t>
            </w:r>
            <w:r>
              <w:rPr>
                <w:rFonts w:hint="eastAsia" w:ascii="仿宋" w:hAnsi="仿宋" w:eastAsia="仿宋" w:cs="仿宋"/>
                <w:b w:val="0"/>
                <w:bCs w:val="0"/>
                <w:kern w:val="0"/>
                <w:sz w:val="28"/>
                <w:szCs w:val="28"/>
              </w:rPr>
              <w:t>做好医疗救治工作；配合宣传部门做好健康预防知识普及工作；完成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7" w:hRule="atLeast"/>
        </w:trPr>
        <w:tc>
          <w:tcPr>
            <w:tcW w:w="760" w:type="dxa"/>
            <w:tcBorders>
              <w:top w:val="single" w:color="000000" w:sz="4" w:space="0"/>
              <w:left w:val="single" w:color="000000" w:sz="8"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16</w:t>
            </w:r>
          </w:p>
        </w:tc>
        <w:tc>
          <w:tcPr>
            <w:tcW w:w="2359" w:type="dxa"/>
            <w:tcBorders>
              <w:top w:val="single" w:color="000000" w:sz="4"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应急</w:t>
            </w:r>
            <w:r>
              <w:rPr>
                <w:rFonts w:hint="eastAsia" w:ascii="仿宋" w:hAnsi="仿宋" w:eastAsia="仿宋" w:cs="仿宋"/>
                <w:b w:val="0"/>
                <w:bCs w:val="0"/>
                <w:kern w:val="0"/>
                <w:sz w:val="28"/>
                <w:szCs w:val="28"/>
                <w:lang w:eastAsia="zh-CN"/>
              </w:rPr>
              <w:t>管理</w:t>
            </w:r>
            <w:r>
              <w:rPr>
                <w:rFonts w:hint="eastAsia" w:ascii="仿宋" w:hAnsi="仿宋" w:eastAsia="仿宋" w:cs="仿宋"/>
                <w:b w:val="0"/>
                <w:bCs w:val="0"/>
                <w:kern w:val="0"/>
                <w:sz w:val="28"/>
                <w:szCs w:val="28"/>
              </w:rPr>
              <w:t>厅</w:t>
            </w:r>
          </w:p>
        </w:tc>
        <w:tc>
          <w:tcPr>
            <w:tcW w:w="5779" w:type="dxa"/>
            <w:tcBorders>
              <w:top w:val="single" w:color="000000" w:sz="4" w:space="0"/>
              <w:bottom w:val="single" w:color="000000" w:sz="8"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指导督促重点污染企业临时停（限）产时的安全生产工作；配合做好重污染天气的应急演练、应急保障和救援等工作；完成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760" w:type="dxa"/>
            <w:tcBorders>
              <w:top w:val="single" w:color="000000" w:sz="8"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序号</w:t>
            </w:r>
          </w:p>
        </w:tc>
        <w:tc>
          <w:tcPr>
            <w:tcW w:w="2359" w:type="dxa"/>
            <w:tcBorders>
              <w:top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责任主体</w:t>
            </w:r>
          </w:p>
        </w:tc>
        <w:tc>
          <w:tcPr>
            <w:tcW w:w="5779" w:type="dxa"/>
            <w:tcBorders>
              <w:top w:val="single" w:color="000000" w:sz="8" w:space="0"/>
              <w:bottom w:val="single" w:color="000000" w:sz="4" w:space="0"/>
              <w:righ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职</w:t>
            </w:r>
            <w:r>
              <w:rPr>
                <w:rFonts w:hint="eastAsia" w:ascii="方正黑体_GBK" w:hAnsi="方正黑体_GBK" w:eastAsia="黑体" w:cs="方正黑体_GBK"/>
                <w:b w:val="0"/>
                <w:bCs w:val="0"/>
                <w:kern w:val="0"/>
                <w:sz w:val="28"/>
                <w:szCs w:val="28"/>
                <w:lang w:val="en-US" w:eastAsia="zh-CN"/>
              </w:rPr>
              <w:t xml:space="preserve">    </w:t>
            </w:r>
            <w:r>
              <w:rPr>
                <w:rFonts w:hint="eastAsia" w:ascii="方正黑体_GBK" w:hAnsi="方正黑体_GBK" w:eastAsia="黑体" w:cs="方正黑体_GBK"/>
                <w:b w:val="0"/>
                <w:bCs w:val="0"/>
                <w:kern w:val="0"/>
                <w:sz w:val="28"/>
                <w:szCs w:val="28"/>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4"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17</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自治区能源局</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牵头做好全社会能源活动管理；负责督导燃煤发电企业加大优质煤使用比例；负责工业电力需求侧管理；负责重污染天气预警期间电力调度、电力保供工作；负责统筹采空区灾害综合治理项目；配合生态环境、自然资源部门做好矸石、煤田自燃治理矿区扬尘治理；配合做好非道路移动机械排放污染防治的监督管理工作；配合做好督导企业在重污染天气预警期间实行大宗物料错峰运输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11" w:hRule="atLeast"/>
        </w:trPr>
        <w:tc>
          <w:tcPr>
            <w:tcW w:w="760" w:type="dxa"/>
            <w:tcBorders>
              <w:top w:val="single" w:color="000000" w:sz="4" w:space="0"/>
              <w:left w:val="single" w:color="000000" w:sz="8"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18</w:t>
            </w:r>
          </w:p>
        </w:tc>
        <w:tc>
          <w:tcPr>
            <w:tcW w:w="2359" w:type="dxa"/>
            <w:tcBorders>
              <w:top w:val="single" w:color="000000" w:sz="4"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内蒙古气象局</w:t>
            </w:r>
          </w:p>
        </w:tc>
        <w:tc>
          <w:tcPr>
            <w:tcW w:w="5779" w:type="dxa"/>
            <w:tcBorders>
              <w:top w:val="single" w:color="000000" w:sz="4" w:space="0"/>
              <w:bottom w:val="single" w:color="000000" w:sz="8"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编制本部门应急响应专项实施方案；负责全区空气污染气象条件预报，配合</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生态环境厅做好重污染天气预警会商和空气质量预报联合发布工作；指导各盟市气象部门开展重污染天气预警、预报工作；适时开展人工影响天气作业；完成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2152D"/>
    <w:rsid w:val="32321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2024-05-08T01:54:00Z</dcterms:created>
  <dc:creator>王海涛:返回拟稿人</dc:creator>
  <cp:lastModifiedBy>王海涛:返回拟稿人</cp:lastModifiedBy>
  <dcterms:modified xsi:type="dcterms:W3CDTF">2024-05-08T01:55:30Z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